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5EB056" w14:textId="77777777" w:rsidR="00FC5EC9" w:rsidRDefault="00FC5EC9">
      <w:pPr>
        <w:rPr>
          <w:rFonts w:ascii="黑体" w:eastAsia="黑体" w:hAnsi="黑体" w:hint="eastAsia"/>
          <w:sz w:val="32"/>
          <w:szCs w:val="32"/>
        </w:rPr>
      </w:pPr>
    </w:p>
    <w:p w14:paraId="189FA870" w14:textId="77777777" w:rsidR="00FC5EC9" w:rsidRDefault="00FC5EC9">
      <w:pPr>
        <w:jc w:val="center"/>
        <w:rPr>
          <w:rFonts w:ascii="方正小标宋_GBK" w:eastAsia="方正小标宋_GBK" w:hAnsi="宋体" w:hint="eastAsia"/>
          <w:sz w:val="44"/>
          <w:szCs w:val="44"/>
        </w:rPr>
      </w:pPr>
    </w:p>
    <w:p w14:paraId="400D9852" w14:textId="77777777" w:rsidR="00FC5EC9"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木垒哈萨克自治县第三小学</w:t>
      </w:r>
    </w:p>
    <w:p w14:paraId="64994E24" w14:textId="77777777" w:rsidR="00FC5EC9"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68579870" w14:textId="77777777" w:rsidR="00FC5EC9"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037FE6F8" w14:textId="77777777" w:rsidR="00FC5EC9"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5CCC693F" w14:textId="77777777" w:rsidR="00FC5EC9"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28EE75B9" w14:textId="77777777" w:rsidR="00FC5EC9"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5F26F9E5" w14:textId="77777777" w:rsidR="00FC5EC9"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754DAF2A" w14:textId="77777777" w:rsidR="00FC5EC9"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4045CA74" w14:textId="77777777" w:rsidR="00FC5EC9"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5074A911" w14:textId="77777777" w:rsidR="00FC5EC9"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2686E4B8" w14:textId="77777777" w:rsidR="00FC5EC9"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20011DC5" w14:textId="77777777" w:rsidR="00FC5EC9"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65DFC783" w14:textId="77777777" w:rsidR="00FC5EC9"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54F5C83A" w14:textId="77777777" w:rsidR="00FC5EC9"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740F3887" w14:textId="77777777" w:rsidR="00FC5EC9"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06F87C9F" w14:textId="77777777" w:rsidR="00FC5EC9"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05D190B2" w14:textId="77777777" w:rsidR="00FC5EC9"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53A8A13A" w14:textId="77777777" w:rsidR="00FC5EC9"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073E207D" w14:textId="77777777" w:rsidR="00FC5EC9"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75711CE5" w14:textId="77777777" w:rsidR="00FC5EC9"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0F6E73F5" w14:textId="77777777" w:rsidR="00FC5EC9"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1B632DBC" w14:textId="77777777" w:rsidR="00FC5EC9"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46DE53D2" w14:textId="77777777" w:rsidR="00FC5EC9"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5A4286EA" w14:textId="77777777" w:rsidR="00FC5EC9"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453EA0DD" w14:textId="77777777" w:rsidR="00FC5EC9"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0EAE20AB" w14:textId="77777777" w:rsidR="00FC5EC9"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4928068E" w14:textId="77777777" w:rsidR="00FC5EC9"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F904589" w14:textId="77777777" w:rsidR="00FC5EC9"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7CC86B56" w14:textId="77777777" w:rsidR="00FC5EC9"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2FCAC8E4" w14:textId="77777777" w:rsidR="00FC5EC9"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1189960B" w14:textId="77777777" w:rsidR="00FC5EC9"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664DD4D9" w14:textId="77777777" w:rsidR="00FC5EC9"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52EB7328" w14:textId="77777777" w:rsidR="00FC5EC9"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2DAD95B5" w14:textId="77777777" w:rsidR="00FC5EC9"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775501DD" w14:textId="77777777" w:rsidR="00FC5EC9"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13357592" w14:textId="77777777" w:rsidR="00FC5EC9" w:rsidRDefault="00000000">
      <w:r>
        <w:rPr>
          <w:rFonts w:ascii="仿宋_GB2312" w:eastAsia="仿宋_GB2312" w:hAnsi="仿宋_GB2312" w:cs="仿宋_GB2312" w:hint="eastAsia"/>
          <w:sz w:val="32"/>
          <w:szCs w:val="32"/>
        </w:rPr>
        <w:fldChar w:fldCharType="end"/>
      </w:r>
    </w:p>
    <w:p w14:paraId="04EC264D" w14:textId="77777777" w:rsidR="00FC5EC9" w:rsidRDefault="00000000">
      <w:pPr>
        <w:rPr>
          <w:rFonts w:ascii="仿宋_GB2312" w:eastAsia="仿宋_GB2312"/>
          <w:sz w:val="32"/>
          <w:szCs w:val="32"/>
        </w:rPr>
      </w:pPr>
      <w:r>
        <w:rPr>
          <w:rFonts w:ascii="仿宋_GB2312" w:eastAsia="仿宋_GB2312" w:hint="eastAsia"/>
          <w:sz w:val="32"/>
          <w:szCs w:val="32"/>
        </w:rPr>
        <w:br w:type="page"/>
      </w:r>
    </w:p>
    <w:p w14:paraId="72861DA7" w14:textId="77777777" w:rsidR="00FC5EC9" w:rsidRDefault="00000000">
      <w:pPr>
        <w:jc w:val="center"/>
        <w:outlineLvl w:val="0"/>
        <w:rPr>
          <w:rFonts w:ascii="黑体" w:eastAsia="黑体" w:hAnsi="黑体" w:hint="eastAsia"/>
          <w:sz w:val="32"/>
          <w:szCs w:val="32"/>
        </w:rPr>
      </w:pPr>
      <w:bookmarkStart w:id="0" w:name="_Toc32314"/>
      <w:bookmarkStart w:id="1" w:name="_Toc24028"/>
      <w:r>
        <w:rPr>
          <w:rFonts w:ascii="黑体" w:eastAsia="黑体" w:hAnsi="黑体" w:hint="eastAsia"/>
          <w:sz w:val="32"/>
          <w:szCs w:val="32"/>
        </w:rPr>
        <w:lastRenderedPageBreak/>
        <w:t>第一部分 单位概况</w:t>
      </w:r>
      <w:bookmarkEnd w:id="0"/>
      <w:bookmarkEnd w:id="1"/>
    </w:p>
    <w:p w14:paraId="1E2C8D07" w14:textId="77777777" w:rsidR="00FC5EC9"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6C3C8DBD" w14:textId="77777777" w:rsidR="007E6582" w:rsidRDefault="007E6582">
      <w:pPr>
        <w:ind w:firstLineChars="200" w:firstLine="640"/>
        <w:jc w:val="left"/>
        <w:rPr>
          <w:rFonts w:ascii="仿宋_GB2312" w:eastAsia="仿宋_GB2312"/>
          <w:kern w:val="0"/>
          <w:sz w:val="32"/>
        </w:rPr>
      </w:pPr>
      <w:r>
        <w:rPr>
          <w:rFonts w:ascii="仿宋_GB2312" w:eastAsia="仿宋_GB2312" w:hint="eastAsia"/>
          <w:sz w:val="32"/>
          <w:szCs w:val="32"/>
        </w:rPr>
        <w:t>木垒哈萨克自治县第三小学</w:t>
      </w:r>
      <w:r w:rsidR="00000000">
        <w:rPr>
          <w:rFonts w:ascii="仿宋_GB2312" w:eastAsia="仿宋_GB2312" w:hint="eastAsia"/>
          <w:kern w:val="0"/>
          <w:sz w:val="32"/>
        </w:rPr>
        <w:t>是一所全额拨款的事业单位，主要职能：</w:t>
      </w:r>
    </w:p>
    <w:p w14:paraId="2E2AF4AD" w14:textId="208D6A87" w:rsidR="00FC5EC9" w:rsidRDefault="00000000">
      <w:pPr>
        <w:ind w:firstLineChars="200" w:firstLine="640"/>
        <w:jc w:val="left"/>
        <w:rPr>
          <w:rFonts w:ascii="仿宋_GB2312" w:eastAsia="仿宋_GB2312"/>
          <w:sz w:val="32"/>
          <w:szCs w:val="32"/>
        </w:rPr>
      </w:pPr>
      <w:r>
        <w:rPr>
          <w:rFonts w:ascii="仿宋_GB2312" w:eastAsia="仿宋_GB2312" w:hint="eastAsia"/>
          <w:kern w:val="0"/>
          <w:sz w:val="32"/>
        </w:rPr>
        <w:t>实施小学学历教育，按照基础教育的有关规定和教学大纲，积极开展各项教学活动；强化德育工作，培养教育学生的技能、技巧和综合能力，加强学校的内部管理工作；加强办学理念，内强素质，外树形</w:t>
      </w:r>
      <w:proofErr w:type="gramStart"/>
      <w:r>
        <w:rPr>
          <w:rFonts w:ascii="仿宋_GB2312" w:eastAsia="仿宋_GB2312" w:hint="eastAsia"/>
          <w:kern w:val="0"/>
          <w:sz w:val="32"/>
        </w:rPr>
        <w:t>象</w:t>
      </w:r>
      <w:proofErr w:type="gramEnd"/>
      <w:r>
        <w:rPr>
          <w:rFonts w:ascii="仿宋_GB2312" w:eastAsia="仿宋_GB2312" w:hint="eastAsia"/>
          <w:kern w:val="0"/>
          <w:sz w:val="32"/>
        </w:rPr>
        <w:t>，加强教师整体素质，学生综合素养，学校文化建设；全面提升教育教学质量，全力推进学校工作全面、均衡、协调、持续的发展</w:t>
      </w:r>
      <w:r>
        <w:rPr>
          <w:rFonts w:ascii="仿宋_GB2312" w:eastAsia="仿宋_GB2312" w:hint="eastAsia"/>
          <w:sz w:val="32"/>
          <w:szCs w:val="32"/>
        </w:rPr>
        <w:t>。</w:t>
      </w:r>
    </w:p>
    <w:p w14:paraId="40F94DFD" w14:textId="77777777" w:rsidR="00FC5EC9"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3731C524" w14:textId="77777777" w:rsidR="00FC5EC9"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木垒哈萨克自治县第三小学2023年度，实有人数</w:t>
      </w:r>
      <w:r>
        <w:rPr>
          <w:rFonts w:ascii="仿宋_GB2312" w:eastAsia="仿宋_GB2312" w:hint="eastAsia"/>
          <w:sz w:val="32"/>
          <w:szCs w:val="32"/>
          <w:lang w:val="zh-CN"/>
        </w:rPr>
        <w:t>172</w:t>
      </w:r>
      <w:r>
        <w:rPr>
          <w:rFonts w:ascii="仿宋_GB2312" w:eastAsia="仿宋_GB2312" w:hint="eastAsia"/>
          <w:sz w:val="32"/>
          <w:szCs w:val="32"/>
        </w:rPr>
        <w:t>人，其中：在职人员</w:t>
      </w:r>
      <w:r>
        <w:rPr>
          <w:rFonts w:ascii="仿宋_GB2312" w:eastAsia="仿宋_GB2312" w:hint="eastAsia"/>
          <w:sz w:val="32"/>
          <w:szCs w:val="32"/>
          <w:lang w:val="zh-CN"/>
        </w:rPr>
        <w:t>77</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95</w:t>
      </w:r>
      <w:r>
        <w:rPr>
          <w:rFonts w:ascii="仿宋_GB2312" w:eastAsia="仿宋_GB2312" w:hint="eastAsia"/>
          <w:sz w:val="32"/>
          <w:szCs w:val="32"/>
        </w:rPr>
        <w:t>人。</w:t>
      </w:r>
    </w:p>
    <w:p w14:paraId="0B64D4F1" w14:textId="77777777" w:rsidR="00FC5EC9" w:rsidRDefault="00000000">
      <w:pPr>
        <w:ind w:firstLineChars="200" w:firstLine="640"/>
        <w:rPr>
          <w:rFonts w:ascii="仿宋_GB2312" w:eastAsia="仿宋_GB2312" w:hAnsi="宋体" w:cs="宋体" w:hint="eastAsia"/>
          <w:kern w:val="0"/>
          <w:sz w:val="32"/>
          <w:szCs w:val="32"/>
        </w:rPr>
        <w:sectPr w:rsidR="00FC5EC9">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int="eastAsia"/>
          <w:sz w:val="32"/>
          <w:szCs w:val="32"/>
        </w:rPr>
        <w:t>7</w:t>
      </w:r>
      <w:r>
        <w:rPr>
          <w:rFonts w:ascii="仿宋_GB2312" w:eastAsia="仿宋_GB2312" w:hAnsi="黑体" w:cs="宋体" w:hint="eastAsia"/>
          <w:bCs/>
          <w:kern w:val="0"/>
          <w:sz w:val="32"/>
          <w:szCs w:val="32"/>
        </w:rPr>
        <w:t>个处室，分别是：</w:t>
      </w:r>
      <w:r>
        <w:rPr>
          <w:rFonts w:ascii="仿宋_GB2312" w:eastAsia="仿宋_GB2312" w:hint="eastAsia"/>
          <w:kern w:val="0"/>
          <w:sz w:val="32"/>
        </w:rPr>
        <w:t>校务办公室、党务办公室、工会、教务室、教研室、总务室、财务室</w:t>
      </w:r>
      <w:r>
        <w:rPr>
          <w:rFonts w:ascii="仿宋_GB2312" w:eastAsia="仿宋_GB2312" w:hAnsi="宋体" w:cs="宋体" w:hint="eastAsia"/>
          <w:kern w:val="0"/>
          <w:sz w:val="32"/>
          <w:szCs w:val="32"/>
        </w:rPr>
        <w:t>。</w:t>
      </w:r>
    </w:p>
    <w:p w14:paraId="3649D361" w14:textId="77777777" w:rsidR="00FC5EC9"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493F020F" w14:textId="77777777" w:rsidR="00FC5EC9"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113EE0C7" w14:textId="77777777" w:rsidR="00FC5EC9"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2023年度收入总计2,058.49万元，其中：本年收入合计2,058.42万元，使用非财政拨款结余0.00万元，年初结转和结余0.07万元。</w:t>
      </w:r>
    </w:p>
    <w:p w14:paraId="3441F847" w14:textId="77777777" w:rsidR="00FC5EC9"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2023年度支出总计2,058.49万元，其中：本年支出合计2,057.19万元，结余分配0.00万元，年末结转和结余1.30万元。</w:t>
      </w:r>
    </w:p>
    <w:p w14:paraId="61DE884B" w14:textId="3319C857" w:rsidR="00FC5EC9"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减少90.74万元</w:t>
      </w:r>
      <w:r>
        <w:rPr>
          <w:rFonts w:ascii="仿宋_GB2312" w:eastAsia="仿宋_GB2312" w:hint="eastAsia"/>
          <w:sz w:val="32"/>
          <w:szCs w:val="32"/>
        </w:rPr>
        <w:t>，下降4.22%，主要原因是：人员减少、基础绩效</w:t>
      </w:r>
      <w:r w:rsidR="007E6582">
        <w:rPr>
          <w:rFonts w:ascii="仿宋_GB2312" w:eastAsia="仿宋_GB2312" w:hint="eastAsia"/>
          <w:sz w:val="32"/>
          <w:szCs w:val="32"/>
        </w:rPr>
        <w:t>奖金</w:t>
      </w:r>
      <w:r>
        <w:rPr>
          <w:rFonts w:ascii="仿宋_GB2312" w:eastAsia="仿宋_GB2312" w:hint="eastAsia"/>
          <w:sz w:val="32"/>
          <w:szCs w:val="32"/>
        </w:rPr>
        <w:t>减少。</w:t>
      </w:r>
    </w:p>
    <w:p w14:paraId="311F908B" w14:textId="77777777" w:rsidR="00FC5EC9" w:rsidRDefault="00000000">
      <w:pPr>
        <w:ind w:firstLineChars="200" w:firstLine="640"/>
        <w:jc w:val="left"/>
        <w:outlineLvl w:val="1"/>
        <w:rPr>
          <w:rFonts w:ascii="黑体" w:eastAsia="黑体" w:hAnsi="黑体" w:cs="宋体" w:hint="eastAsia"/>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22F90288" w14:textId="77777777" w:rsidR="00FC5EC9"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本年收入2,058.42万元，其中：财政拨款收入</w:t>
      </w:r>
      <w:r>
        <w:rPr>
          <w:rFonts w:ascii="仿宋_GB2312" w:eastAsia="仿宋_GB2312" w:hint="eastAsia"/>
          <w:sz w:val="32"/>
          <w:szCs w:val="32"/>
          <w:lang w:val="zh-CN"/>
        </w:rPr>
        <w:t>1,951.87</w:t>
      </w:r>
      <w:r>
        <w:rPr>
          <w:rFonts w:ascii="仿宋_GB2312" w:eastAsia="仿宋_GB2312" w:hint="eastAsia"/>
          <w:sz w:val="32"/>
          <w:szCs w:val="32"/>
        </w:rPr>
        <w:t>万元，占</w:t>
      </w:r>
      <w:r>
        <w:rPr>
          <w:rFonts w:ascii="仿宋_GB2312" w:eastAsia="仿宋_GB2312" w:hint="eastAsia"/>
          <w:sz w:val="32"/>
          <w:szCs w:val="32"/>
          <w:lang w:val="zh-CN"/>
        </w:rPr>
        <w:t>94.82</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106.54</w:t>
      </w:r>
      <w:r>
        <w:rPr>
          <w:rFonts w:ascii="仿宋_GB2312" w:eastAsia="仿宋_GB2312" w:hint="eastAsia"/>
          <w:sz w:val="32"/>
          <w:szCs w:val="32"/>
        </w:rPr>
        <w:t>万元，占</w:t>
      </w:r>
      <w:r>
        <w:rPr>
          <w:rFonts w:ascii="仿宋_GB2312" w:eastAsia="仿宋_GB2312" w:hint="eastAsia"/>
          <w:sz w:val="32"/>
          <w:szCs w:val="32"/>
          <w:lang w:val="zh-CN"/>
        </w:rPr>
        <w:t>5.18</w:t>
      </w:r>
      <w:r>
        <w:rPr>
          <w:rFonts w:ascii="仿宋_GB2312" w:eastAsia="仿宋_GB2312" w:hint="eastAsia"/>
          <w:sz w:val="32"/>
          <w:szCs w:val="32"/>
        </w:rPr>
        <w:t>%。</w:t>
      </w:r>
    </w:p>
    <w:p w14:paraId="45E2F3AC" w14:textId="77777777" w:rsidR="00FC5EC9"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2EAAE647" w14:textId="77777777" w:rsidR="00FC5EC9"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本年支出2,057.19万元，其中：基本支出1,944.05万元，占94.50%；项目支出113.14万元，占5.50%；上缴上级支出0.00万元，占0.00%；经营支出0.00万元，占0.00%；对附属单位补助支出0.00万元，占0.00%。</w:t>
      </w:r>
    </w:p>
    <w:p w14:paraId="6D50EEA2" w14:textId="77777777" w:rsidR="00FC5EC9"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54DFA992" w14:textId="77777777" w:rsidR="00FC5EC9"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2023年度财政拨款收入总计</w:t>
      </w:r>
      <w:r>
        <w:rPr>
          <w:rFonts w:ascii="仿宋_GB2312" w:eastAsia="仿宋_GB2312" w:hint="eastAsia"/>
          <w:sz w:val="32"/>
          <w:szCs w:val="32"/>
          <w:lang w:val="zh-CN"/>
        </w:rPr>
        <w:t>1,951.87</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1,951.87</w:t>
      </w:r>
      <w:r>
        <w:rPr>
          <w:rFonts w:ascii="仿宋_GB2312" w:eastAsia="仿宋_GB2312" w:hint="eastAsia"/>
          <w:sz w:val="32"/>
          <w:szCs w:val="32"/>
        </w:rPr>
        <w:t>万元。财政拨款支出总计</w:t>
      </w:r>
      <w:r>
        <w:rPr>
          <w:rFonts w:ascii="仿宋_GB2312" w:eastAsia="仿宋_GB2312" w:hint="eastAsia"/>
          <w:sz w:val="32"/>
          <w:szCs w:val="32"/>
          <w:lang w:val="zh-CN"/>
        </w:rPr>
        <w:t>1,951.87</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1,951.87</w:t>
      </w:r>
      <w:r>
        <w:rPr>
          <w:rFonts w:ascii="仿宋_GB2312" w:eastAsia="仿宋_GB2312" w:hint="eastAsia"/>
          <w:sz w:val="32"/>
          <w:szCs w:val="32"/>
        </w:rPr>
        <w:t>万元。</w:t>
      </w:r>
    </w:p>
    <w:p w14:paraId="23793576" w14:textId="630563D4" w:rsidR="00FC5EC9"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减少141.30万元</w:t>
      </w:r>
      <w:r>
        <w:rPr>
          <w:rFonts w:ascii="仿宋_GB2312" w:eastAsia="仿宋_GB2312" w:hint="eastAsia"/>
          <w:sz w:val="32"/>
          <w:szCs w:val="32"/>
        </w:rPr>
        <w:t>，下降6.75%,主要原因是：</w:t>
      </w:r>
      <w:r w:rsidR="007E6582">
        <w:rPr>
          <w:rFonts w:ascii="仿宋_GB2312" w:eastAsia="仿宋_GB2312" w:hint="eastAsia"/>
          <w:sz w:val="32"/>
          <w:szCs w:val="32"/>
        </w:rPr>
        <w:t>人员减少、基础绩效奖金减少</w:t>
      </w:r>
      <w:r>
        <w:rPr>
          <w:rFonts w:ascii="仿宋_GB2312" w:eastAsia="仿宋_GB2312" w:hint="eastAsia"/>
          <w:sz w:val="32"/>
          <w:szCs w:val="32"/>
        </w:rPr>
        <w:t>。与年初预算相比，年初预算数</w:t>
      </w:r>
      <w:r>
        <w:rPr>
          <w:rFonts w:ascii="仿宋_GB2312" w:eastAsia="仿宋_GB2312" w:hint="eastAsia"/>
          <w:sz w:val="32"/>
          <w:szCs w:val="32"/>
          <w:lang w:val="zh-CN"/>
        </w:rPr>
        <w:t>1,936.98</w:t>
      </w:r>
      <w:r>
        <w:rPr>
          <w:rFonts w:ascii="仿宋_GB2312" w:eastAsia="仿宋_GB2312" w:hint="eastAsia"/>
          <w:sz w:val="32"/>
          <w:szCs w:val="32"/>
        </w:rPr>
        <w:t>万元，决算数</w:t>
      </w:r>
      <w:r>
        <w:rPr>
          <w:rFonts w:ascii="仿宋_GB2312" w:eastAsia="仿宋_GB2312" w:hint="eastAsia"/>
          <w:sz w:val="32"/>
          <w:szCs w:val="32"/>
          <w:lang w:val="zh-CN"/>
        </w:rPr>
        <w:t>1,951.87</w:t>
      </w:r>
      <w:r>
        <w:rPr>
          <w:rFonts w:ascii="仿宋_GB2312" w:eastAsia="仿宋_GB2312" w:hint="eastAsia"/>
          <w:sz w:val="32"/>
          <w:szCs w:val="32"/>
        </w:rPr>
        <w:t>万元，预决算差异率0.77%，主要原因是：本年单位追加死亡抚恤金经费。</w:t>
      </w:r>
    </w:p>
    <w:p w14:paraId="7C04A729" w14:textId="77777777" w:rsidR="00FC5EC9"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598DD20B" w14:textId="77777777" w:rsidR="00FC5EC9"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30BFDD78" w14:textId="33E3194C" w:rsidR="00FC5EC9"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2023年度一般公共预算财政拨款支出1,951.87万元，占本年支出合计的</w:t>
      </w:r>
      <w:r>
        <w:rPr>
          <w:rFonts w:ascii="仿宋_GB2312" w:eastAsia="仿宋_GB2312" w:hint="eastAsia"/>
          <w:sz w:val="32"/>
          <w:szCs w:val="32"/>
          <w:lang w:val="zh-CN"/>
        </w:rPr>
        <w:t>94.88%</w:t>
      </w:r>
      <w:r>
        <w:rPr>
          <w:rFonts w:ascii="仿宋_GB2312" w:eastAsia="仿宋_GB2312" w:hint="eastAsia"/>
          <w:sz w:val="32"/>
          <w:szCs w:val="32"/>
        </w:rPr>
        <w:t>。与上年相比，</w:t>
      </w:r>
      <w:r>
        <w:rPr>
          <w:rFonts w:ascii="仿宋_GB2312" w:eastAsia="仿宋_GB2312" w:hint="eastAsia"/>
          <w:sz w:val="32"/>
          <w:szCs w:val="32"/>
          <w:lang w:val="zh-CN"/>
        </w:rPr>
        <w:t>减少141.30万元</w:t>
      </w:r>
      <w:r>
        <w:rPr>
          <w:rFonts w:ascii="仿宋_GB2312" w:eastAsia="仿宋_GB2312" w:hint="eastAsia"/>
          <w:sz w:val="32"/>
          <w:szCs w:val="32"/>
        </w:rPr>
        <w:t>，下降6.75%,主要原因是：</w:t>
      </w:r>
      <w:r w:rsidR="007E6582">
        <w:rPr>
          <w:rFonts w:ascii="仿宋_GB2312" w:eastAsia="仿宋_GB2312" w:hint="eastAsia"/>
          <w:sz w:val="32"/>
          <w:szCs w:val="32"/>
        </w:rPr>
        <w:t>人员减少、基础绩效奖金减少</w:t>
      </w:r>
      <w:r>
        <w:rPr>
          <w:rFonts w:ascii="仿宋_GB2312" w:eastAsia="仿宋_GB2312" w:hint="eastAsia"/>
          <w:sz w:val="32"/>
          <w:szCs w:val="32"/>
        </w:rPr>
        <w:t>。与年初预算相比，年初预算数</w:t>
      </w:r>
      <w:r>
        <w:rPr>
          <w:rFonts w:ascii="仿宋_GB2312" w:eastAsia="仿宋_GB2312" w:hint="eastAsia"/>
          <w:sz w:val="32"/>
          <w:szCs w:val="32"/>
          <w:lang w:val="zh-CN"/>
        </w:rPr>
        <w:t>1,936.98</w:t>
      </w:r>
      <w:r>
        <w:rPr>
          <w:rFonts w:ascii="仿宋_GB2312" w:eastAsia="仿宋_GB2312" w:hint="eastAsia"/>
          <w:sz w:val="32"/>
          <w:szCs w:val="32"/>
        </w:rPr>
        <w:t>万元，决算数</w:t>
      </w:r>
      <w:r>
        <w:rPr>
          <w:rFonts w:ascii="仿宋_GB2312" w:eastAsia="仿宋_GB2312" w:hint="eastAsia"/>
          <w:sz w:val="32"/>
          <w:szCs w:val="32"/>
          <w:lang w:val="zh-CN"/>
        </w:rPr>
        <w:t>1,951.87</w:t>
      </w:r>
      <w:r>
        <w:rPr>
          <w:rFonts w:ascii="仿宋_GB2312" w:eastAsia="仿宋_GB2312" w:hint="eastAsia"/>
          <w:sz w:val="32"/>
          <w:szCs w:val="32"/>
        </w:rPr>
        <w:t>万元，预决算差异率</w:t>
      </w:r>
      <w:r>
        <w:rPr>
          <w:rFonts w:ascii="仿宋_GB2312" w:eastAsia="仿宋_GB2312" w:hint="eastAsia"/>
          <w:sz w:val="32"/>
          <w:szCs w:val="32"/>
          <w:lang w:val="zh-CN"/>
        </w:rPr>
        <w:t>0.77%</w:t>
      </w:r>
      <w:r>
        <w:rPr>
          <w:rFonts w:ascii="仿宋_GB2312" w:eastAsia="仿宋_GB2312" w:hint="eastAsia"/>
          <w:sz w:val="32"/>
          <w:szCs w:val="32"/>
        </w:rPr>
        <w:t>，主要原因是：本年单位追加死亡抚恤金经费。</w:t>
      </w:r>
    </w:p>
    <w:p w14:paraId="4BA00688" w14:textId="77777777" w:rsidR="00FC5EC9"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55276340" w14:textId="77777777" w:rsidR="00FC5EC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.教育支出（类）</w:t>
      </w:r>
      <w:r>
        <w:rPr>
          <w:rFonts w:ascii="仿宋_GB2312" w:eastAsia="仿宋_GB2312" w:hint="eastAsia"/>
          <w:kern w:val="2"/>
          <w:sz w:val="32"/>
          <w:szCs w:val="32"/>
          <w:lang w:val="zh-CN"/>
        </w:rPr>
        <w:t>1,834.01</w:t>
      </w:r>
      <w:r>
        <w:rPr>
          <w:rFonts w:ascii="仿宋_GB2312" w:eastAsia="仿宋_GB2312"/>
          <w:kern w:val="2"/>
          <w:sz w:val="32"/>
          <w:szCs w:val="32"/>
          <w:lang w:val="zh-CN"/>
        </w:rPr>
        <w:t>万元，占</w:t>
      </w:r>
      <w:r>
        <w:rPr>
          <w:rFonts w:ascii="仿宋_GB2312" w:eastAsia="仿宋_GB2312" w:hint="eastAsia"/>
          <w:kern w:val="2"/>
          <w:sz w:val="32"/>
          <w:szCs w:val="32"/>
          <w:lang w:val="zh-CN"/>
        </w:rPr>
        <w:t>93.96</w:t>
      </w:r>
      <w:r>
        <w:rPr>
          <w:rFonts w:ascii="仿宋_GB2312" w:eastAsia="仿宋_GB2312"/>
          <w:kern w:val="2"/>
          <w:sz w:val="32"/>
          <w:szCs w:val="32"/>
          <w:lang w:val="zh-CN"/>
        </w:rPr>
        <w:t>%；</w:t>
      </w:r>
    </w:p>
    <w:p w14:paraId="631771E7" w14:textId="77777777" w:rsidR="00FC5EC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117.86</w:t>
      </w:r>
      <w:r>
        <w:rPr>
          <w:rFonts w:ascii="仿宋_GB2312" w:eastAsia="仿宋_GB2312"/>
          <w:kern w:val="2"/>
          <w:sz w:val="32"/>
          <w:szCs w:val="32"/>
          <w:lang w:val="zh-CN"/>
        </w:rPr>
        <w:t>万元，占</w:t>
      </w:r>
      <w:r>
        <w:rPr>
          <w:rFonts w:ascii="仿宋_GB2312" w:eastAsia="仿宋_GB2312" w:hint="eastAsia"/>
          <w:kern w:val="2"/>
          <w:sz w:val="32"/>
          <w:szCs w:val="32"/>
          <w:lang w:val="zh-CN"/>
        </w:rPr>
        <w:t>6.04</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15799B17" w14:textId="77777777" w:rsidR="00FC5EC9"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753F719B" w14:textId="77777777" w:rsidR="00FC5EC9"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1.社会保障和就业支出（类）抚恤（款）死亡抚恤（项）:支出决算数为17.50万元，比上年决算增加11.44万元，增长188.95%，主要原因是：本年死亡人员增加，抚恤金增加。</w:t>
      </w:r>
    </w:p>
    <w:p w14:paraId="1DF6469D" w14:textId="77777777" w:rsidR="00FC5EC9" w:rsidRDefault="00000000">
      <w:pPr>
        <w:ind w:firstLineChars="200" w:firstLine="640"/>
        <w:jc w:val="left"/>
        <w:rPr>
          <w:rFonts w:ascii="仿宋_GB2312" w:eastAsia="仿宋_GB2312"/>
          <w:sz w:val="32"/>
          <w:szCs w:val="32"/>
        </w:rPr>
      </w:pPr>
      <w:r>
        <w:rPr>
          <w:rFonts w:ascii="仿宋_GB2312" w:eastAsia="仿宋_GB2312" w:hint="eastAsia"/>
          <w:sz w:val="32"/>
          <w:szCs w:val="32"/>
        </w:rPr>
        <w:t>2.教育支出（类）普通教育（款）小学教育（项）:支出决算数为1,834.01万元，比上年决算减少150.01万元，下降7.56%，主要原因是：人员减少、朱子文化长廊项目已完成。</w:t>
      </w:r>
    </w:p>
    <w:p w14:paraId="0BFFBFE4" w14:textId="77777777" w:rsidR="00FC5EC9" w:rsidRDefault="00000000">
      <w:pPr>
        <w:ind w:firstLineChars="200" w:firstLine="640"/>
        <w:jc w:val="left"/>
        <w:rPr>
          <w:rFonts w:ascii="仿宋_GB2312" w:eastAsia="仿宋_GB2312"/>
          <w:sz w:val="32"/>
          <w:szCs w:val="32"/>
        </w:rPr>
      </w:pPr>
      <w:r>
        <w:rPr>
          <w:rFonts w:ascii="仿宋_GB2312" w:eastAsia="仿宋_GB2312" w:hint="eastAsia"/>
          <w:sz w:val="32"/>
          <w:szCs w:val="32"/>
        </w:rPr>
        <w:t>3.社会保障和就业支出（类）行政事业单位养老支出（款）事业单位离退休（项）:支出决算数为29.85万元，比上年决算增加17.34万元，增长138.50%，主要原因是：退休人员绩效工资增加。</w:t>
      </w:r>
    </w:p>
    <w:p w14:paraId="6D7152E9" w14:textId="2A4E3886" w:rsidR="00FC5EC9" w:rsidRDefault="00000000">
      <w:pPr>
        <w:ind w:firstLineChars="200" w:firstLine="640"/>
        <w:jc w:val="left"/>
        <w:rPr>
          <w:rFonts w:ascii="仿宋_GB2312" w:eastAsia="仿宋_GB2312"/>
          <w:sz w:val="32"/>
          <w:szCs w:val="32"/>
        </w:rPr>
      </w:pPr>
      <w:r>
        <w:rPr>
          <w:rFonts w:ascii="仿宋_GB2312" w:eastAsia="仿宋_GB2312" w:hint="eastAsia"/>
          <w:sz w:val="32"/>
          <w:szCs w:val="32"/>
        </w:rPr>
        <w:t>4.社会保障和就业支出（类）行政事业单位养老支出（款）机关事业单位职业年金缴费支出（项）:支出决算数为70.51万元，比上年决算减少0.06万元，下降0.09%，主要原因是：退休人员减少</w:t>
      </w:r>
      <w:r w:rsidR="007E6582">
        <w:rPr>
          <w:rFonts w:ascii="仿宋_GB2312" w:eastAsia="仿宋_GB2312" w:hint="eastAsia"/>
          <w:sz w:val="32"/>
          <w:szCs w:val="32"/>
        </w:rPr>
        <w:t>，</w:t>
      </w:r>
      <w:r>
        <w:rPr>
          <w:rFonts w:ascii="仿宋_GB2312" w:eastAsia="仿宋_GB2312" w:hint="eastAsia"/>
          <w:sz w:val="32"/>
          <w:szCs w:val="32"/>
        </w:rPr>
        <w:t>相应一次性职业年金缴费支出减少。</w:t>
      </w:r>
    </w:p>
    <w:p w14:paraId="2F86A09E" w14:textId="77777777" w:rsidR="00FC5EC9" w:rsidRDefault="00000000">
      <w:pPr>
        <w:ind w:firstLineChars="200" w:firstLine="640"/>
        <w:jc w:val="left"/>
        <w:rPr>
          <w:rFonts w:ascii="仿宋_GB2312" w:eastAsia="仿宋_GB2312"/>
          <w:sz w:val="32"/>
          <w:szCs w:val="32"/>
        </w:rPr>
      </w:pPr>
      <w:r>
        <w:rPr>
          <w:rFonts w:ascii="仿宋_GB2312" w:eastAsia="仿宋_GB2312" w:hint="eastAsia"/>
          <w:sz w:val="32"/>
          <w:szCs w:val="32"/>
        </w:rPr>
        <w:t>5.教育支出（类）教育费附加安排的支出（款）城市中小学校舍建设（项）:支出决算数为0.00万元，比上年决算减少10.00万元，下降100%，主要原因是：本年无此项支出。</w:t>
      </w:r>
    </w:p>
    <w:p w14:paraId="5ACC9D7F" w14:textId="77777777" w:rsidR="00FC5EC9" w:rsidRDefault="00000000">
      <w:pPr>
        <w:ind w:firstLineChars="200" w:firstLine="640"/>
        <w:jc w:val="left"/>
        <w:rPr>
          <w:rFonts w:ascii="仿宋_GB2312" w:eastAsia="仿宋_GB2312"/>
          <w:sz w:val="32"/>
          <w:szCs w:val="32"/>
        </w:rPr>
      </w:pPr>
      <w:r>
        <w:rPr>
          <w:rFonts w:ascii="仿宋_GB2312" w:eastAsia="仿宋_GB2312" w:hint="eastAsia"/>
          <w:sz w:val="32"/>
          <w:szCs w:val="32"/>
        </w:rPr>
        <w:t>6.教育支出（类）教育费附加安排的支出（款）城市中小学教学设施（项）:支出决算数为0.00万元，比上年决算减少10.00万元，下降100%，主要原因是：本年无此项支出。</w:t>
      </w:r>
    </w:p>
    <w:p w14:paraId="76C2F1A4" w14:textId="77777777" w:rsidR="00FC5EC9"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六、一般公共预算财政拨款基本支出决算情况说明</w:t>
      </w:r>
    </w:p>
    <w:p w14:paraId="2FBD1EFC" w14:textId="77777777" w:rsidR="00FC5EC9"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1,838.73万元，其中：人员经费1,817.74万元，包括：基本工资、津贴补贴、奖金、机关事业单位基本养老保险缴费、职业年金缴费、职工基本医疗保险缴费、其他社会保障缴费、住房公积金、退休费、抚恤金、助学金、奖励金。</w:t>
      </w:r>
    </w:p>
    <w:p w14:paraId="055A6D83" w14:textId="77777777" w:rsidR="00FC5EC9" w:rsidRDefault="00000000">
      <w:pPr>
        <w:ind w:firstLineChars="200" w:firstLine="640"/>
        <w:jc w:val="left"/>
        <w:rPr>
          <w:rFonts w:ascii="仿宋_GB2312" w:eastAsia="仿宋_GB2312"/>
          <w:sz w:val="32"/>
          <w:szCs w:val="32"/>
        </w:rPr>
      </w:pPr>
      <w:r>
        <w:rPr>
          <w:rFonts w:ascii="仿宋_GB2312" w:eastAsia="仿宋_GB2312" w:hint="eastAsia"/>
          <w:sz w:val="32"/>
          <w:szCs w:val="32"/>
        </w:rPr>
        <w:t>公用经费20.99万元，包括：水费、电费、邮电费、取暖费、公务用车运行维护费。</w:t>
      </w:r>
    </w:p>
    <w:p w14:paraId="7927E466" w14:textId="77777777" w:rsidR="00FC5EC9"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0A720489" w14:textId="15DB4433" w:rsidR="00FC5EC9"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“三公”经费支出0.35万元，</w:t>
      </w:r>
      <w:r>
        <w:rPr>
          <w:rFonts w:ascii="仿宋_GB2312" w:eastAsia="仿宋_GB2312" w:hint="eastAsia"/>
          <w:sz w:val="32"/>
          <w:szCs w:val="32"/>
        </w:rPr>
        <w:t>比上年</w:t>
      </w:r>
      <w:r>
        <w:rPr>
          <w:rFonts w:ascii="仿宋_GB2312" w:eastAsia="仿宋_GB2312" w:hint="eastAsia"/>
          <w:sz w:val="32"/>
          <w:szCs w:val="32"/>
          <w:lang w:val="zh-CN"/>
        </w:rPr>
        <w:t>减少0.31万元，</w:t>
      </w:r>
      <w:r>
        <w:rPr>
          <w:rFonts w:ascii="仿宋_GB2312" w:eastAsia="仿宋_GB2312" w:hint="eastAsia"/>
          <w:sz w:val="32"/>
          <w:szCs w:val="32"/>
        </w:rPr>
        <w:t>下降47.15%,</w:t>
      </w:r>
      <w:r>
        <w:rPr>
          <w:rFonts w:ascii="仿宋_GB2312" w:eastAsia="仿宋_GB2312" w:hint="eastAsia"/>
          <w:sz w:val="32"/>
          <w:szCs w:val="32"/>
          <w:lang w:val="zh-CN"/>
        </w:rPr>
        <w:t>主要原因是：车辆使用减少维修费减少。其中：因公出国（境）费支出0.00万元，占0.00%，比上年增加0.00万元，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主要原因是：本年单位无此项支出；公务用车购置及运行维护费支出0.35万元，占100.00%，比上年减少0.31万元，</w:t>
      </w:r>
      <w:r>
        <w:rPr>
          <w:rFonts w:ascii="仿宋_GB2312" w:eastAsia="仿宋_GB2312" w:hint="eastAsia"/>
          <w:sz w:val="32"/>
          <w:szCs w:val="32"/>
        </w:rPr>
        <w:t>下降47.15%,</w:t>
      </w:r>
      <w:r>
        <w:rPr>
          <w:rFonts w:ascii="仿宋_GB2312" w:eastAsia="仿宋_GB2312" w:hint="eastAsia"/>
          <w:sz w:val="32"/>
          <w:szCs w:val="32"/>
          <w:lang w:val="zh-CN"/>
        </w:rPr>
        <w:t>主要原因是：车辆使用减少</w:t>
      </w:r>
      <w:r w:rsidR="007E6582">
        <w:rPr>
          <w:rFonts w:ascii="仿宋_GB2312" w:eastAsia="仿宋_GB2312" w:hint="eastAsia"/>
          <w:sz w:val="32"/>
          <w:szCs w:val="32"/>
          <w:lang w:val="zh-CN"/>
        </w:rPr>
        <w:t>，</w:t>
      </w:r>
      <w:r>
        <w:rPr>
          <w:rFonts w:ascii="仿宋_GB2312" w:eastAsia="仿宋_GB2312" w:hint="eastAsia"/>
          <w:sz w:val="32"/>
          <w:szCs w:val="32"/>
          <w:lang w:val="zh-CN"/>
        </w:rPr>
        <w:t>维修费减少；公务接待费支出0.00万元，占0.00%，比上年增加0.00万元，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主要原因是：本年单位无此项支出。</w:t>
      </w:r>
    </w:p>
    <w:p w14:paraId="5324A966" w14:textId="77777777" w:rsidR="00FC5EC9"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40839FA5" w14:textId="77777777" w:rsidR="00FC5EC9"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因公出国（境）费支出0.00万元，开支内容包括本年单位无此项支出。单位全年安排的因公出国（境）团组0个，因公出国（境）0人次。</w:t>
      </w:r>
    </w:p>
    <w:p w14:paraId="149064DF" w14:textId="77777777" w:rsidR="00FC5EC9"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lastRenderedPageBreak/>
        <w:t>公务用车购置及运行维护费0.35万元，其中：公务用车购置费0.00万元，公务用车运行维护费0.35万元。公务用车运行维护费开支内容包括公务用车燃油费、车辆维修维护费、保险费、过路费等。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原因是：无差异。</w:t>
      </w:r>
    </w:p>
    <w:p w14:paraId="027A7005" w14:textId="77777777" w:rsidR="00FC5EC9"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公务接待费0.00万元，开支内容包括本年单位无此项支出。单位全年安排的国内公务接待0批次，0人次。</w:t>
      </w:r>
    </w:p>
    <w:p w14:paraId="2E281B5A" w14:textId="77777777" w:rsidR="00FC5EC9"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预算数0.35万元，决算数0.35万元，预决算差异率0.00%，主要原因是：预决算对比无差异。其中：因公出国（境）费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0.00万元，决算数0.00万元，预决算差异率0.00%，主要原因是：本年单位无此项支出；公务用车购置费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预算数0.00万元，决算数0.00万元，预决算差异率0.00%，主要原因是：本年单位无此项支出；公务用车运行费</w:t>
      </w:r>
      <w:r>
        <w:rPr>
          <w:rFonts w:ascii="仿宋_GB2312" w:eastAsia="仿宋_GB2312" w:hint="eastAsia"/>
          <w:sz w:val="32"/>
          <w:szCs w:val="32"/>
        </w:rPr>
        <w:t>全年</w:t>
      </w:r>
      <w:r>
        <w:rPr>
          <w:rFonts w:ascii="仿宋_GB2312" w:eastAsia="仿宋_GB2312" w:hint="eastAsia"/>
          <w:sz w:val="32"/>
          <w:szCs w:val="32"/>
          <w:lang w:val="zh-CN"/>
        </w:rPr>
        <w:t>预算数0.35万元，决算数0.35万元，预决算差异率0.00%，主要原因是：预决算对比无差异；公务接待费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预算数0.00万元，决算数0.00万元，预决算差异率0.00%，主要原因是：本年单位无此项支出。</w:t>
      </w:r>
    </w:p>
    <w:p w14:paraId="53AE13A1" w14:textId="77777777" w:rsidR="00FC5EC9"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5833E05A" w14:textId="77777777" w:rsidR="00FC5EC9"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w:t>
      </w:r>
      <w:r>
        <w:rPr>
          <w:rFonts w:ascii="仿宋_GB2312" w:eastAsia="仿宋_GB2312" w:hint="eastAsia"/>
          <w:sz w:val="32"/>
          <w:szCs w:val="32"/>
        </w:rPr>
        <w:lastRenderedPageBreak/>
        <w:t>表。</w:t>
      </w:r>
    </w:p>
    <w:p w14:paraId="5932C6DE" w14:textId="77777777" w:rsidR="00FC5EC9"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0C041B40" w14:textId="77777777" w:rsidR="00FC5EC9"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14962F9C" w14:textId="77777777" w:rsidR="00FC5EC9"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60AD207A" w14:textId="77777777" w:rsidR="00FC5EC9"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6CC3D9FC" w14:textId="6F5E4FD7" w:rsidR="00FC5EC9" w:rsidRDefault="00000000">
      <w:pPr>
        <w:ind w:firstLineChars="200" w:firstLine="640"/>
        <w:jc w:val="left"/>
        <w:rPr>
          <w:rFonts w:ascii="仿宋_GB2312" w:eastAsia="仿宋_GB2312"/>
          <w:sz w:val="32"/>
          <w:szCs w:val="32"/>
        </w:rPr>
      </w:pPr>
      <w:bookmarkStart w:id="24" w:name="_Toc26704"/>
      <w:bookmarkStart w:id="25" w:name="_Toc227"/>
      <w:r>
        <w:rPr>
          <w:rFonts w:ascii="仿宋_GB2312" w:eastAsia="仿宋_GB2312" w:hint="eastAsia"/>
          <w:sz w:val="32"/>
          <w:szCs w:val="32"/>
        </w:rPr>
        <w:t>2023年度木垒哈萨克自治县第三小学（事业单位）公用经费支出20.99万元，比上年增加11.74万元，增长126.90%，主要原因是：校园公用取暖费</w:t>
      </w:r>
      <w:r w:rsidR="007E6582">
        <w:rPr>
          <w:rFonts w:ascii="仿宋_GB2312" w:eastAsia="仿宋_GB2312" w:hint="eastAsia"/>
          <w:sz w:val="32"/>
          <w:szCs w:val="32"/>
        </w:rPr>
        <w:t>、</w:t>
      </w:r>
      <w:r w:rsidR="007E6582">
        <w:rPr>
          <w:rFonts w:ascii="仿宋_GB2312" w:eastAsia="仿宋_GB2312" w:hint="eastAsia"/>
          <w:sz w:val="32"/>
          <w:szCs w:val="32"/>
        </w:rPr>
        <w:t>邮电费</w:t>
      </w:r>
      <w:r>
        <w:rPr>
          <w:rFonts w:ascii="仿宋_GB2312" w:eastAsia="仿宋_GB2312" w:hint="eastAsia"/>
          <w:sz w:val="32"/>
          <w:szCs w:val="32"/>
        </w:rPr>
        <w:t>增加。</w:t>
      </w:r>
    </w:p>
    <w:p w14:paraId="308E8771" w14:textId="77777777" w:rsidR="00FC5EC9"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66EECD4B" w14:textId="77777777" w:rsidR="00FC5EC9"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2023年度政府采购支出总额136.24万元，其中：政府采购货物支出43.03万元、政府采购工程支出52.14万元、政府采购服务支出41.07万元。</w:t>
      </w:r>
    </w:p>
    <w:p w14:paraId="7246AEE1" w14:textId="77777777" w:rsidR="00FC5EC9"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授予中小企业合同金额133.25万元，占政府采购支出总额的97.80</w:t>
      </w:r>
      <w:r>
        <w:rPr>
          <w:rFonts w:ascii="仿宋_GB2312" w:eastAsia="仿宋_GB2312"/>
          <w:sz w:val="32"/>
          <w:szCs w:val="32"/>
        </w:rPr>
        <w:t>%</w:t>
      </w:r>
      <w:r>
        <w:rPr>
          <w:rFonts w:ascii="仿宋_GB2312" w:eastAsia="仿宋_GB2312" w:hint="eastAsia"/>
          <w:sz w:val="32"/>
          <w:szCs w:val="32"/>
        </w:rPr>
        <w:t>，其中：授予小</w:t>
      </w:r>
      <w:proofErr w:type="gramStart"/>
      <w:r>
        <w:rPr>
          <w:rFonts w:ascii="仿宋_GB2312" w:eastAsia="仿宋_GB2312" w:hint="eastAsia"/>
          <w:sz w:val="32"/>
          <w:szCs w:val="32"/>
        </w:rPr>
        <w:t>微企业</w:t>
      </w:r>
      <w:proofErr w:type="gramEnd"/>
      <w:r>
        <w:rPr>
          <w:rFonts w:ascii="仿宋_GB2312" w:eastAsia="仿宋_GB2312" w:hint="eastAsia"/>
          <w:sz w:val="32"/>
          <w:szCs w:val="32"/>
        </w:rPr>
        <w:t>合同金额132.79万元，占政府采购支出总额的97.46</w:t>
      </w:r>
      <w:r>
        <w:rPr>
          <w:rFonts w:ascii="仿宋_GB2312" w:eastAsia="仿宋_GB2312"/>
          <w:sz w:val="32"/>
          <w:szCs w:val="32"/>
        </w:rPr>
        <w:t>%</w:t>
      </w:r>
      <w:r>
        <w:rPr>
          <w:rFonts w:ascii="仿宋_GB2312" w:eastAsia="仿宋_GB2312" w:hint="eastAsia"/>
          <w:sz w:val="32"/>
          <w:szCs w:val="32"/>
        </w:rPr>
        <w:t>。</w:t>
      </w:r>
    </w:p>
    <w:p w14:paraId="1CAFD883" w14:textId="77777777" w:rsidR="00FC5EC9"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2111ED49" w14:textId="77777777" w:rsidR="00FC5EC9"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截至2023年12月31日，固定资产原值3,682.44万元，房屋14,559.14平方米，价值2,303.08万元。车辆1辆，价值9.80万元，其中：副部（省）级及以上领导用车0辆、主要负责人用车0辆、机要通信用车0辆、应急保障用车0</w:t>
      </w:r>
      <w:r>
        <w:rPr>
          <w:rFonts w:ascii="仿宋_GB2312" w:eastAsia="仿宋_GB2312" w:hint="eastAsia"/>
          <w:sz w:val="32"/>
          <w:szCs w:val="32"/>
        </w:rPr>
        <w:lastRenderedPageBreak/>
        <w:t>辆、执法执勤用车0辆、特种专业技术用车0辆、离退休干部服务用车0辆、其他用车1辆，其他用车主要是：单位业务用车；单价100万元（含）以上设备（不含车辆）0台（套）。</w:t>
      </w:r>
    </w:p>
    <w:p w14:paraId="47C8DF3D" w14:textId="77777777" w:rsidR="00FC5EC9"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0028F936" w14:textId="1029D00A" w:rsidR="00FC5EC9"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预算总额2,058.49万元，实际执行总额2,057.19万元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预算绩效评价项目0个，全年预算数0.00万元，全年执行数0.0</w:t>
      </w:r>
      <w:r w:rsidR="007E6582">
        <w:rPr>
          <w:rFonts w:ascii="仿宋_GB2312" w:eastAsia="仿宋_GB2312" w:hint="eastAsia"/>
          <w:sz w:val="32"/>
          <w:szCs w:val="32"/>
        </w:rPr>
        <w:t>0</w:t>
      </w:r>
      <w:r>
        <w:rPr>
          <w:rFonts w:ascii="仿宋_GB2312" w:eastAsia="仿宋_GB2312" w:hint="eastAsia"/>
          <w:sz w:val="32"/>
          <w:szCs w:val="32"/>
        </w:rPr>
        <w:t>万元。预算绩效管理取得的成效：一是做好群众服务工作，保障社会大局稳定，提高群众安全感；二是促进统筹规划和综合协调，提升人居环境质量,提升群众人居环境。发现的问题及原因：一是部门职能不明确，个别工作分工不清晰，</w:t>
      </w:r>
      <w:proofErr w:type="gramStart"/>
      <w:r>
        <w:rPr>
          <w:rFonts w:ascii="仿宋_GB2312" w:eastAsia="仿宋_GB2312" w:hint="eastAsia"/>
          <w:sz w:val="32"/>
          <w:szCs w:val="32"/>
        </w:rPr>
        <w:t>且人员</w:t>
      </w:r>
      <w:proofErr w:type="gramEnd"/>
      <w:r>
        <w:rPr>
          <w:rFonts w:ascii="仿宋_GB2312" w:eastAsia="仿宋_GB2312" w:hint="eastAsia"/>
          <w:sz w:val="32"/>
          <w:szCs w:val="32"/>
        </w:rPr>
        <w:t>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1191"/>
        <w:gridCol w:w="1158"/>
        <w:gridCol w:w="1097"/>
        <w:gridCol w:w="1164"/>
        <w:gridCol w:w="548"/>
        <w:gridCol w:w="909"/>
        <w:gridCol w:w="920"/>
      </w:tblGrid>
      <w:tr w:rsidR="00FC5EC9" w14:paraId="2E28513F" w14:textId="77777777">
        <w:trPr>
          <w:trHeight w:val="522"/>
          <w:jc w:val="center"/>
        </w:trPr>
        <w:tc>
          <w:tcPr>
            <w:tcW w:w="8522" w:type="dxa"/>
            <w:gridSpan w:val="8"/>
            <w:shd w:val="clear" w:color="auto" w:fill="auto"/>
            <w:noWrap/>
            <w:vAlign w:val="center"/>
          </w:tcPr>
          <w:p w14:paraId="3EED3C1F"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FC5EC9" w14:paraId="3205887E" w14:textId="77777777">
        <w:trPr>
          <w:trHeight w:val="360"/>
          <w:jc w:val="center"/>
        </w:trPr>
        <w:tc>
          <w:tcPr>
            <w:tcW w:w="8522" w:type="dxa"/>
            <w:gridSpan w:val="8"/>
            <w:shd w:val="clear" w:color="auto" w:fill="auto"/>
            <w:noWrap/>
            <w:vAlign w:val="center"/>
          </w:tcPr>
          <w:p w14:paraId="5BC1B9E6"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（2023年度）</w:t>
            </w:r>
          </w:p>
        </w:tc>
      </w:tr>
      <w:tr w:rsidR="00FC5EC9" w14:paraId="7EDF893F" w14:textId="77777777">
        <w:trPr>
          <w:trHeight w:val="660"/>
          <w:jc w:val="center"/>
        </w:trPr>
        <w:tc>
          <w:tcPr>
            <w:tcW w:w="1535" w:type="dxa"/>
            <w:shd w:val="clear" w:color="auto" w:fill="auto"/>
            <w:noWrap/>
            <w:vAlign w:val="center"/>
          </w:tcPr>
          <w:p w14:paraId="19521EBF"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6987" w:type="dxa"/>
            <w:gridSpan w:val="7"/>
            <w:shd w:val="clear" w:color="auto" w:fill="auto"/>
            <w:noWrap/>
            <w:vAlign w:val="center"/>
          </w:tcPr>
          <w:p w14:paraId="7E72381C"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木垒县第三小学</w:t>
            </w:r>
          </w:p>
        </w:tc>
      </w:tr>
      <w:tr w:rsidR="00FC5EC9" w14:paraId="26BC9758" w14:textId="77777777">
        <w:trPr>
          <w:trHeight w:val="570"/>
          <w:jc w:val="center"/>
        </w:trPr>
        <w:tc>
          <w:tcPr>
            <w:tcW w:w="1535" w:type="dxa"/>
            <w:vMerge w:val="restart"/>
            <w:shd w:val="clear" w:color="auto" w:fill="auto"/>
            <w:vAlign w:val="center"/>
          </w:tcPr>
          <w:p w14:paraId="60A1387C"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1191" w:type="dxa"/>
            <w:shd w:val="clear" w:color="auto" w:fill="auto"/>
            <w:vAlign w:val="center"/>
          </w:tcPr>
          <w:p w14:paraId="2400DDF7"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1158" w:type="dxa"/>
            <w:shd w:val="clear" w:color="auto" w:fill="auto"/>
            <w:vAlign w:val="center"/>
          </w:tcPr>
          <w:p w14:paraId="50501C4E"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1097" w:type="dxa"/>
            <w:shd w:val="clear" w:color="auto" w:fill="auto"/>
            <w:vAlign w:val="center"/>
          </w:tcPr>
          <w:p w14:paraId="2C5AB26E"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1164" w:type="dxa"/>
            <w:shd w:val="clear" w:color="auto" w:fill="auto"/>
            <w:vAlign w:val="center"/>
          </w:tcPr>
          <w:p w14:paraId="2E7BF47D"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548" w:type="dxa"/>
            <w:shd w:val="clear" w:color="auto" w:fill="auto"/>
            <w:vAlign w:val="center"/>
          </w:tcPr>
          <w:p w14:paraId="645F20AC"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909" w:type="dxa"/>
            <w:shd w:val="clear" w:color="auto" w:fill="auto"/>
            <w:vAlign w:val="center"/>
          </w:tcPr>
          <w:p w14:paraId="30754858"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920" w:type="dxa"/>
            <w:shd w:val="clear" w:color="auto" w:fill="auto"/>
            <w:vAlign w:val="center"/>
          </w:tcPr>
          <w:p w14:paraId="1E6513FD"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FC5EC9" w14:paraId="7C82B53D" w14:textId="77777777">
        <w:trPr>
          <w:trHeight w:val="882"/>
          <w:jc w:val="center"/>
        </w:trPr>
        <w:tc>
          <w:tcPr>
            <w:tcW w:w="1535" w:type="dxa"/>
            <w:vMerge/>
            <w:vAlign w:val="center"/>
          </w:tcPr>
          <w:p w14:paraId="2C06DAEB" w14:textId="77777777" w:rsidR="00FC5EC9" w:rsidRDefault="00FC5EC9">
            <w:pPr>
              <w:widowControl/>
              <w:jc w:val="left"/>
              <w:rPr>
                <w:rFonts w:ascii="宋体" w:hAnsi="宋体" w:cs="宋体" w:hint="eastAsia"/>
                <w:kern w:val="0"/>
                <w:sz w:val="20"/>
                <w:szCs w:val="20"/>
              </w:rPr>
            </w:pPr>
          </w:p>
        </w:tc>
        <w:tc>
          <w:tcPr>
            <w:tcW w:w="1191" w:type="dxa"/>
            <w:shd w:val="clear" w:color="auto" w:fill="auto"/>
            <w:noWrap/>
            <w:vAlign w:val="center"/>
          </w:tcPr>
          <w:p w14:paraId="1E093BF2"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1158" w:type="dxa"/>
            <w:shd w:val="clear" w:color="auto" w:fill="auto"/>
            <w:vAlign w:val="center"/>
          </w:tcPr>
          <w:p w14:paraId="634D6CD5"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94.20 </w:t>
            </w:r>
          </w:p>
        </w:tc>
        <w:tc>
          <w:tcPr>
            <w:tcW w:w="1097" w:type="dxa"/>
            <w:shd w:val="clear" w:color="auto" w:fill="auto"/>
            <w:vAlign w:val="center"/>
          </w:tcPr>
          <w:p w14:paraId="2C5510E1"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100.48 </w:t>
            </w:r>
          </w:p>
        </w:tc>
        <w:tc>
          <w:tcPr>
            <w:tcW w:w="1164" w:type="dxa"/>
            <w:shd w:val="clear" w:color="auto" w:fill="auto"/>
            <w:vAlign w:val="center"/>
          </w:tcPr>
          <w:p w14:paraId="567557FC"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100.48 </w:t>
            </w:r>
          </w:p>
        </w:tc>
        <w:tc>
          <w:tcPr>
            <w:tcW w:w="548" w:type="dxa"/>
            <w:shd w:val="clear" w:color="auto" w:fill="auto"/>
            <w:vAlign w:val="center"/>
          </w:tcPr>
          <w:p w14:paraId="6EBD4CFD"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909" w:type="dxa"/>
            <w:shd w:val="clear" w:color="auto" w:fill="auto"/>
            <w:vAlign w:val="center"/>
          </w:tcPr>
          <w:p w14:paraId="6F3F7C12"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920" w:type="dxa"/>
            <w:shd w:val="clear" w:color="auto" w:fill="auto"/>
            <w:vAlign w:val="center"/>
          </w:tcPr>
          <w:p w14:paraId="7187A99C"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FC5EC9" w14:paraId="32E7343B" w14:textId="77777777">
        <w:trPr>
          <w:trHeight w:val="882"/>
          <w:jc w:val="center"/>
        </w:trPr>
        <w:tc>
          <w:tcPr>
            <w:tcW w:w="1535" w:type="dxa"/>
            <w:vMerge/>
            <w:vAlign w:val="center"/>
          </w:tcPr>
          <w:p w14:paraId="3D6FD0D5" w14:textId="77777777" w:rsidR="00FC5EC9" w:rsidRDefault="00FC5EC9">
            <w:pPr>
              <w:widowControl/>
              <w:jc w:val="left"/>
              <w:rPr>
                <w:rFonts w:ascii="宋体" w:hAnsi="宋体" w:cs="宋体" w:hint="eastAsia"/>
                <w:kern w:val="0"/>
                <w:sz w:val="20"/>
                <w:szCs w:val="20"/>
              </w:rPr>
            </w:pPr>
          </w:p>
        </w:tc>
        <w:tc>
          <w:tcPr>
            <w:tcW w:w="1191" w:type="dxa"/>
            <w:shd w:val="clear" w:color="auto" w:fill="auto"/>
            <w:vAlign w:val="center"/>
          </w:tcPr>
          <w:p w14:paraId="05AB55F9"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1158" w:type="dxa"/>
            <w:shd w:val="clear" w:color="auto" w:fill="auto"/>
            <w:vAlign w:val="center"/>
          </w:tcPr>
          <w:p w14:paraId="190DD5BA"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3.60 </w:t>
            </w:r>
          </w:p>
        </w:tc>
        <w:tc>
          <w:tcPr>
            <w:tcW w:w="1097" w:type="dxa"/>
            <w:shd w:val="clear" w:color="auto" w:fill="auto"/>
            <w:vAlign w:val="center"/>
          </w:tcPr>
          <w:p w14:paraId="42CCF0C0"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11.16 </w:t>
            </w:r>
          </w:p>
        </w:tc>
        <w:tc>
          <w:tcPr>
            <w:tcW w:w="1164" w:type="dxa"/>
            <w:shd w:val="clear" w:color="auto" w:fill="auto"/>
            <w:vAlign w:val="center"/>
          </w:tcPr>
          <w:p w14:paraId="4B3CC7B9"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11.16 </w:t>
            </w:r>
          </w:p>
        </w:tc>
        <w:tc>
          <w:tcPr>
            <w:tcW w:w="548" w:type="dxa"/>
            <w:shd w:val="clear" w:color="auto" w:fill="auto"/>
            <w:vAlign w:val="center"/>
          </w:tcPr>
          <w:p w14:paraId="75C6D31B"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09" w:type="dxa"/>
            <w:shd w:val="clear" w:color="auto" w:fill="auto"/>
            <w:vAlign w:val="center"/>
          </w:tcPr>
          <w:p w14:paraId="679D96E9"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20" w:type="dxa"/>
            <w:shd w:val="clear" w:color="auto" w:fill="auto"/>
            <w:vAlign w:val="center"/>
          </w:tcPr>
          <w:p w14:paraId="23B35C43"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FC5EC9" w14:paraId="01268C8D" w14:textId="77777777">
        <w:trPr>
          <w:trHeight w:val="882"/>
          <w:jc w:val="center"/>
        </w:trPr>
        <w:tc>
          <w:tcPr>
            <w:tcW w:w="1535" w:type="dxa"/>
            <w:vMerge/>
            <w:vAlign w:val="center"/>
          </w:tcPr>
          <w:p w14:paraId="6ACB969E" w14:textId="77777777" w:rsidR="00FC5EC9" w:rsidRDefault="00FC5EC9">
            <w:pPr>
              <w:widowControl/>
              <w:jc w:val="left"/>
              <w:rPr>
                <w:rFonts w:ascii="宋体" w:hAnsi="宋体" w:cs="宋体" w:hint="eastAsia"/>
                <w:kern w:val="0"/>
                <w:sz w:val="20"/>
                <w:szCs w:val="20"/>
              </w:rPr>
            </w:pPr>
          </w:p>
        </w:tc>
        <w:tc>
          <w:tcPr>
            <w:tcW w:w="1191" w:type="dxa"/>
            <w:shd w:val="clear" w:color="auto" w:fill="auto"/>
            <w:vAlign w:val="center"/>
          </w:tcPr>
          <w:p w14:paraId="1F5E2DC7"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1158" w:type="dxa"/>
            <w:shd w:val="clear" w:color="auto" w:fill="auto"/>
            <w:vAlign w:val="center"/>
          </w:tcPr>
          <w:p w14:paraId="7B0EE0DD"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1097" w:type="dxa"/>
            <w:shd w:val="clear" w:color="auto" w:fill="auto"/>
            <w:vAlign w:val="center"/>
          </w:tcPr>
          <w:p w14:paraId="04D5799F"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1.50 </w:t>
            </w:r>
          </w:p>
        </w:tc>
        <w:tc>
          <w:tcPr>
            <w:tcW w:w="1164" w:type="dxa"/>
            <w:shd w:val="clear" w:color="auto" w:fill="auto"/>
            <w:vAlign w:val="center"/>
          </w:tcPr>
          <w:p w14:paraId="0CA77BA4"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1.50 </w:t>
            </w:r>
          </w:p>
        </w:tc>
        <w:tc>
          <w:tcPr>
            <w:tcW w:w="548" w:type="dxa"/>
            <w:shd w:val="clear" w:color="auto" w:fill="auto"/>
            <w:vAlign w:val="center"/>
          </w:tcPr>
          <w:p w14:paraId="103F02DF"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09" w:type="dxa"/>
            <w:shd w:val="clear" w:color="auto" w:fill="auto"/>
            <w:vAlign w:val="center"/>
          </w:tcPr>
          <w:p w14:paraId="5C5DD2A4"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20" w:type="dxa"/>
            <w:shd w:val="clear" w:color="auto" w:fill="auto"/>
            <w:vAlign w:val="center"/>
          </w:tcPr>
          <w:p w14:paraId="1666CF2C"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FC5EC9" w14:paraId="0B63254E" w14:textId="77777777">
        <w:trPr>
          <w:trHeight w:val="882"/>
          <w:jc w:val="center"/>
        </w:trPr>
        <w:tc>
          <w:tcPr>
            <w:tcW w:w="1535" w:type="dxa"/>
            <w:vMerge/>
            <w:vAlign w:val="center"/>
          </w:tcPr>
          <w:p w14:paraId="3EEAAE3A" w14:textId="77777777" w:rsidR="00FC5EC9" w:rsidRDefault="00FC5EC9">
            <w:pPr>
              <w:widowControl/>
              <w:jc w:val="left"/>
              <w:rPr>
                <w:rFonts w:ascii="宋体" w:hAnsi="宋体" w:cs="宋体" w:hint="eastAsia"/>
                <w:kern w:val="0"/>
                <w:sz w:val="20"/>
                <w:szCs w:val="20"/>
              </w:rPr>
            </w:pPr>
          </w:p>
        </w:tc>
        <w:tc>
          <w:tcPr>
            <w:tcW w:w="1191" w:type="dxa"/>
            <w:shd w:val="clear" w:color="auto" w:fill="auto"/>
            <w:vAlign w:val="center"/>
          </w:tcPr>
          <w:p w14:paraId="4C2AB8F8"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1158" w:type="dxa"/>
            <w:shd w:val="clear" w:color="auto" w:fill="auto"/>
            <w:vAlign w:val="center"/>
          </w:tcPr>
          <w:p w14:paraId="1E06D57E"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1,839.18 </w:t>
            </w:r>
          </w:p>
        </w:tc>
        <w:tc>
          <w:tcPr>
            <w:tcW w:w="1097" w:type="dxa"/>
            <w:shd w:val="clear" w:color="auto" w:fill="auto"/>
            <w:vAlign w:val="center"/>
          </w:tcPr>
          <w:p w14:paraId="0738FC9F"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1,944.05 </w:t>
            </w:r>
          </w:p>
        </w:tc>
        <w:tc>
          <w:tcPr>
            <w:tcW w:w="1164" w:type="dxa"/>
            <w:shd w:val="clear" w:color="auto" w:fill="auto"/>
            <w:vAlign w:val="center"/>
          </w:tcPr>
          <w:p w14:paraId="30401BEE"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2,058.49 </w:t>
            </w:r>
          </w:p>
        </w:tc>
        <w:tc>
          <w:tcPr>
            <w:tcW w:w="548" w:type="dxa"/>
            <w:shd w:val="clear" w:color="auto" w:fill="auto"/>
            <w:vAlign w:val="center"/>
          </w:tcPr>
          <w:p w14:paraId="267C4DD5"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909" w:type="dxa"/>
            <w:shd w:val="clear" w:color="auto" w:fill="auto"/>
            <w:vAlign w:val="center"/>
          </w:tcPr>
          <w:p w14:paraId="09C2AC17"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920" w:type="dxa"/>
            <w:shd w:val="clear" w:color="auto" w:fill="auto"/>
            <w:vAlign w:val="center"/>
          </w:tcPr>
          <w:p w14:paraId="0C509B51"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r>
      <w:tr w:rsidR="00FC5EC9" w14:paraId="78B8AB06" w14:textId="77777777">
        <w:trPr>
          <w:trHeight w:val="882"/>
          <w:jc w:val="center"/>
        </w:trPr>
        <w:tc>
          <w:tcPr>
            <w:tcW w:w="1535" w:type="dxa"/>
            <w:vMerge/>
            <w:vAlign w:val="center"/>
          </w:tcPr>
          <w:p w14:paraId="759AE19F" w14:textId="77777777" w:rsidR="00FC5EC9" w:rsidRDefault="00FC5EC9">
            <w:pPr>
              <w:widowControl/>
              <w:jc w:val="left"/>
              <w:rPr>
                <w:rFonts w:ascii="宋体" w:hAnsi="宋体" w:cs="宋体" w:hint="eastAsia"/>
                <w:kern w:val="0"/>
                <w:sz w:val="20"/>
                <w:szCs w:val="20"/>
              </w:rPr>
            </w:pPr>
          </w:p>
        </w:tc>
        <w:tc>
          <w:tcPr>
            <w:tcW w:w="1191" w:type="dxa"/>
            <w:shd w:val="clear" w:color="auto" w:fill="auto"/>
            <w:vAlign w:val="center"/>
          </w:tcPr>
          <w:p w14:paraId="51CE8B1E"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1158" w:type="dxa"/>
            <w:shd w:val="clear" w:color="auto" w:fill="auto"/>
            <w:vAlign w:val="center"/>
          </w:tcPr>
          <w:p w14:paraId="7BBBEF90"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1097" w:type="dxa"/>
            <w:shd w:val="clear" w:color="auto" w:fill="auto"/>
            <w:vAlign w:val="center"/>
          </w:tcPr>
          <w:p w14:paraId="73E25634"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1164" w:type="dxa"/>
            <w:shd w:val="clear" w:color="auto" w:fill="auto"/>
            <w:vAlign w:val="center"/>
          </w:tcPr>
          <w:p w14:paraId="4D120280"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548" w:type="dxa"/>
            <w:shd w:val="clear" w:color="auto" w:fill="auto"/>
            <w:vAlign w:val="center"/>
          </w:tcPr>
          <w:p w14:paraId="46F6BAD9"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909" w:type="dxa"/>
            <w:shd w:val="clear" w:color="auto" w:fill="auto"/>
            <w:vAlign w:val="center"/>
          </w:tcPr>
          <w:p w14:paraId="026AE237"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920" w:type="dxa"/>
            <w:shd w:val="clear" w:color="auto" w:fill="auto"/>
            <w:vAlign w:val="center"/>
          </w:tcPr>
          <w:p w14:paraId="5975011D"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r>
      <w:tr w:rsidR="00FC5EC9" w14:paraId="43D5FFC2" w14:textId="77777777">
        <w:trPr>
          <w:trHeight w:val="882"/>
          <w:jc w:val="center"/>
        </w:trPr>
        <w:tc>
          <w:tcPr>
            <w:tcW w:w="1535" w:type="dxa"/>
            <w:vMerge/>
            <w:vAlign w:val="center"/>
          </w:tcPr>
          <w:p w14:paraId="5F85EED4" w14:textId="77777777" w:rsidR="00FC5EC9" w:rsidRDefault="00FC5EC9">
            <w:pPr>
              <w:widowControl/>
              <w:jc w:val="left"/>
              <w:rPr>
                <w:rFonts w:ascii="宋体" w:hAnsi="宋体" w:cs="宋体" w:hint="eastAsia"/>
                <w:kern w:val="0"/>
                <w:sz w:val="20"/>
                <w:szCs w:val="20"/>
              </w:rPr>
            </w:pPr>
          </w:p>
        </w:tc>
        <w:tc>
          <w:tcPr>
            <w:tcW w:w="1191" w:type="dxa"/>
            <w:shd w:val="clear" w:color="auto" w:fill="auto"/>
            <w:vAlign w:val="center"/>
          </w:tcPr>
          <w:p w14:paraId="3028195A"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1158" w:type="dxa"/>
            <w:shd w:val="clear" w:color="auto" w:fill="auto"/>
            <w:vAlign w:val="center"/>
          </w:tcPr>
          <w:p w14:paraId="0D615F79"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1,936.98 </w:t>
            </w:r>
          </w:p>
        </w:tc>
        <w:tc>
          <w:tcPr>
            <w:tcW w:w="1097" w:type="dxa"/>
            <w:shd w:val="clear" w:color="auto" w:fill="auto"/>
            <w:vAlign w:val="center"/>
          </w:tcPr>
          <w:p w14:paraId="6B986D43" w14:textId="77777777" w:rsidR="00FC5EC9" w:rsidRDefault="00000000">
            <w:pPr>
              <w:widowControl/>
              <w:jc w:val="center"/>
              <w:rPr>
                <w:rFonts w:ascii="宋体" w:hAnsi="宋体" w:cs="宋体" w:hint="eastAsia"/>
                <w:kern w:val="0"/>
                <w:sz w:val="20"/>
                <w:szCs w:val="20"/>
              </w:rPr>
            </w:pPr>
            <w:r>
              <w:rPr>
                <w:rFonts w:ascii="宋体" w:hAnsi="宋体" w:cs="宋体"/>
                <w:kern w:val="0"/>
                <w:sz w:val="20"/>
                <w:szCs w:val="20"/>
              </w:rPr>
              <w:t>2,058.49</w:t>
            </w:r>
          </w:p>
        </w:tc>
        <w:tc>
          <w:tcPr>
            <w:tcW w:w="1164" w:type="dxa"/>
            <w:shd w:val="clear" w:color="auto" w:fill="auto"/>
            <w:vAlign w:val="center"/>
          </w:tcPr>
          <w:p w14:paraId="51A4880B" w14:textId="77777777" w:rsidR="00FC5EC9" w:rsidRDefault="00000000">
            <w:pPr>
              <w:widowControl/>
              <w:jc w:val="center"/>
              <w:rPr>
                <w:rFonts w:ascii="宋体" w:hAnsi="宋体" w:cs="宋体" w:hint="eastAsia"/>
                <w:kern w:val="0"/>
                <w:sz w:val="20"/>
                <w:szCs w:val="20"/>
              </w:rPr>
            </w:pPr>
            <w:r>
              <w:rPr>
                <w:rFonts w:ascii="宋体" w:hAnsi="宋体" w:cs="宋体"/>
                <w:kern w:val="0"/>
                <w:sz w:val="20"/>
                <w:szCs w:val="20"/>
              </w:rPr>
              <w:t>2,057.19</w:t>
            </w:r>
          </w:p>
        </w:tc>
        <w:tc>
          <w:tcPr>
            <w:tcW w:w="548" w:type="dxa"/>
            <w:shd w:val="clear" w:color="auto" w:fill="auto"/>
            <w:vAlign w:val="center"/>
          </w:tcPr>
          <w:p w14:paraId="3003ECA2"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09" w:type="dxa"/>
            <w:shd w:val="clear" w:color="auto" w:fill="auto"/>
            <w:vAlign w:val="center"/>
          </w:tcPr>
          <w:p w14:paraId="2199C624"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20" w:type="dxa"/>
            <w:shd w:val="clear" w:color="auto" w:fill="auto"/>
            <w:vAlign w:val="center"/>
          </w:tcPr>
          <w:p w14:paraId="23530AE7"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FC5EC9" w14:paraId="73B87709" w14:textId="77777777">
        <w:trPr>
          <w:trHeight w:val="705"/>
          <w:jc w:val="center"/>
        </w:trPr>
        <w:tc>
          <w:tcPr>
            <w:tcW w:w="1535" w:type="dxa"/>
            <w:vMerge w:val="restart"/>
            <w:shd w:val="clear" w:color="auto" w:fill="auto"/>
            <w:vAlign w:val="center"/>
          </w:tcPr>
          <w:p w14:paraId="03C18607"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3446" w:type="dxa"/>
            <w:gridSpan w:val="3"/>
            <w:shd w:val="clear" w:color="auto" w:fill="auto"/>
            <w:noWrap/>
            <w:vAlign w:val="center"/>
          </w:tcPr>
          <w:p w14:paraId="323F7823"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3541" w:type="dxa"/>
            <w:gridSpan w:val="4"/>
            <w:shd w:val="clear" w:color="auto" w:fill="auto"/>
            <w:noWrap/>
            <w:vAlign w:val="center"/>
          </w:tcPr>
          <w:p w14:paraId="47F09607"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FC5EC9" w14:paraId="7A957AB1" w14:textId="77777777">
        <w:trPr>
          <w:trHeight w:val="1999"/>
          <w:jc w:val="center"/>
        </w:trPr>
        <w:tc>
          <w:tcPr>
            <w:tcW w:w="1535" w:type="dxa"/>
            <w:vMerge/>
            <w:vAlign w:val="center"/>
          </w:tcPr>
          <w:p w14:paraId="06BB9513" w14:textId="77777777" w:rsidR="00FC5EC9" w:rsidRDefault="00FC5EC9">
            <w:pPr>
              <w:widowControl/>
              <w:jc w:val="left"/>
              <w:rPr>
                <w:rFonts w:ascii="宋体" w:hAnsi="宋体" w:cs="宋体" w:hint="eastAsia"/>
                <w:kern w:val="0"/>
                <w:sz w:val="20"/>
                <w:szCs w:val="20"/>
              </w:rPr>
            </w:pPr>
          </w:p>
        </w:tc>
        <w:tc>
          <w:tcPr>
            <w:tcW w:w="3446" w:type="dxa"/>
            <w:gridSpan w:val="3"/>
            <w:shd w:val="clear" w:color="auto" w:fill="auto"/>
            <w:vAlign w:val="center"/>
          </w:tcPr>
          <w:p w14:paraId="6552B6AB"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目标1：宣传贯彻执行党和国家的教育方针、政策、法律法规等，坚持依法执教、依法治学，贯彻执行县教育局的行政规章制度；</w:t>
            </w:r>
          </w:p>
          <w:p w14:paraId="3136A3E0" w14:textId="77777777" w:rsidR="00FC5EC9" w:rsidRDefault="00FC5EC9">
            <w:pPr>
              <w:widowControl/>
              <w:jc w:val="center"/>
              <w:rPr>
                <w:rFonts w:ascii="宋体" w:hAnsi="宋体" w:cs="宋体" w:hint="eastAsia"/>
                <w:kern w:val="0"/>
                <w:sz w:val="20"/>
                <w:szCs w:val="20"/>
              </w:rPr>
            </w:pPr>
          </w:p>
          <w:p w14:paraId="1839957B"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目标2：资助学生人数176人，助学金发</w:t>
            </w:r>
            <w:proofErr w:type="gramStart"/>
            <w:r>
              <w:rPr>
                <w:rFonts w:ascii="宋体" w:hAnsi="宋体" w:cs="宋体" w:hint="eastAsia"/>
                <w:kern w:val="0"/>
                <w:sz w:val="20"/>
                <w:szCs w:val="20"/>
              </w:rPr>
              <w:t>放及时</w:t>
            </w:r>
            <w:proofErr w:type="gramEnd"/>
            <w:r>
              <w:rPr>
                <w:rFonts w:ascii="宋体" w:hAnsi="宋体" w:cs="宋体" w:hint="eastAsia"/>
                <w:kern w:val="0"/>
                <w:sz w:val="20"/>
                <w:szCs w:val="20"/>
              </w:rPr>
              <w:t>率100%，有效减轻贫困家庭经济困难学生的经济负担，满足家庭经济困难学生基本生活需要，各项国家资助政策按规定得到落实，教育公平显著提升。</w:t>
            </w:r>
          </w:p>
          <w:p w14:paraId="74283FA3" w14:textId="77777777" w:rsidR="00FC5EC9" w:rsidRDefault="00FC5EC9">
            <w:pPr>
              <w:widowControl/>
              <w:jc w:val="center"/>
              <w:rPr>
                <w:rFonts w:ascii="宋体" w:hAnsi="宋体" w:cs="宋体" w:hint="eastAsia"/>
                <w:kern w:val="0"/>
                <w:sz w:val="20"/>
                <w:szCs w:val="20"/>
              </w:rPr>
            </w:pPr>
          </w:p>
          <w:p w14:paraId="471E33A5"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目标3：组织开展本校的教育科学科研和教育教学改革，全力推进教育实施；为提高教育教学水平，教师参加各类培训数量≥3次，教师培训合格率达100%，每学期参加教学质量分析</w:t>
            </w:r>
            <w:r>
              <w:rPr>
                <w:rFonts w:ascii="宋体" w:hAnsi="宋体" w:cs="宋体" w:hint="eastAsia"/>
                <w:kern w:val="0"/>
                <w:sz w:val="20"/>
                <w:szCs w:val="20"/>
              </w:rPr>
              <w:lastRenderedPageBreak/>
              <w:t>会2次，各类考试完成及时率100%，</w:t>
            </w:r>
            <w:proofErr w:type="gramStart"/>
            <w:r>
              <w:rPr>
                <w:rFonts w:ascii="宋体" w:hAnsi="宋体" w:cs="宋体" w:hint="eastAsia"/>
                <w:kern w:val="0"/>
                <w:sz w:val="20"/>
                <w:szCs w:val="20"/>
              </w:rPr>
              <w:t>控辍保学</w:t>
            </w:r>
            <w:proofErr w:type="gramEnd"/>
            <w:r>
              <w:rPr>
                <w:rFonts w:ascii="宋体" w:hAnsi="宋体" w:cs="宋体" w:hint="eastAsia"/>
                <w:kern w:val="0"/>
                <w:sz w:val="20"/>
                <w:szCs w:val="20"/>
              </w:rPr>
              <w:t>率≤0%。</w:t>
            </w:r>
          </w:p>
          <w:p w14:paraId="6CB01C47" w14:textId="77777777" w:rsidR="00FC5EC9" w:rsidRDefault="00FC5EC9">
            <w:pPr>
              <w:widowControl/>
              <w:jc w:val="center"/>
              <w:rPr>
                <w:rFonts w:ascii="宋体" w:hAnsi="宋体" w:cs="宋体" w:hint="eastAsia"/>
                <w:kern w:val="0"/>
                <w:sz w:val="20"/>
                <w:szCs w:val="20"/>
              </w:rPr>
            </w:pPr>
          </w:p>
          <w:p w14:paraId="3B39B9BE"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目标4：按照义务教育课程计划，开齐课程，开足课时，认真实施小学的教育教学管理，全面推进素质教育，全面提高教育教学质量；保障学校工作正常有序开展.</w:t>
            </w:r>
          </w:p>
          <w:p w14:paraId="309781DF" w14:textId="77777777" w:rsidR="00FC5EC9" w:rsidRDefault="00FC5EC9">
            <w:pPr>
              <w:widowControl/>
              <w:jc w:val="center"/>
              <w:rPr>
                <w:rFonts w:ascii="宋体" w:hAnsi="宋体" w:cs="宋体" w:hint="eastAsia"/>
                <w:kern w:val="0"/>
                <w:sz w:val="20"/>
                <w:szCs w:val="20"/>
              </w:rPr>
            </w:pPr>
          </w:p>
          <w:p w14:paraId="3F5E054E"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目标5：保障学校各项工作圆满完成。</w:t>
            </w:r>
          </w:p>
        </w:tc>
        <w:tc>
          <w:tcPr>
            <w:tcW w:w="3541" w:type="dxa"/>
            <w:gridSpan w:val="4"/>
            <w:shd w:val="clear" w:color="auto" w:fill="auto"/>
            <w:vAlign w:val="center"/>
          </w:tcPr>
          <w:p w14:paraId="14FE4B25"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截止2023年12月31日，我单位已完成：1助学金资助学生人数180人，助学金发</w:t>
            </w:r>
            <w:proofErr w:type="gramStart"/>
            <w:r>
              <w:rPr>
                <w:rFonts w:ascii="宋体" w:hAnsi="宋体" w:cs="宋体" w:hint="eastAsia"/>
                <w:kern w:val="0"/>
                <w:sz w:val="20"/>
                <w:szCs w:val="20"/>
              </w:rPr>
              <w:t>放及时</w:t>
            </w:r>
            <w:proofErr w:type="gramEnd"/>
            <w:r>
              <w:rPr>
                <w:rFonts w:ascii="宋体" w:hAnsi="宋体" w:cs="宋体" w:hint="eastAsia"/>
                <w:kern w:val="0"/>
                <w:sz w:val="20"/>
                <w:szCs w:val="20"/>
              </w:rPr>
              <w:t>率100%，有效减轻贫困家庭经济困难学生的经济负担，满足家庭经济困难学生基本生活需要，义务教育阶段及高中阶段教育各项国家资助政策按规定得到落实，教育公平显著提升。2.为提高教育教学水平，教师参加各类培训次数20次，教师培训合格率达100%，每学期参加教学质量分析会2次，各类考试完成及时率100%，</w:t>
            </w:r>
            <w:proofErr w:type="gramStart"/>
            <w:r>
              <w:rPr>
                <w:rFonts w:ascii="宋体" w:hAnsi="宋体" w:cs="宋体" w:hint="eastAsia"/>
                <w:kern w:val="0"/>
                <w:sz w:val="20"/>
                <w:szCs w:val="20"/>
              </w:rPr>
              <w:t>控辍保学</w:t>
            </w:r>
            <w:proofErr w:type="gramEnd"/>
            <w:r>
              <w:rPr>
                <w:rFonts w:ascii="宋体" w:hAnsi="宋体" w:cs="宋体" w:hint="eastAsia"/>
                <w:kern w:val="0"/>
                <w:sz w:val="20"/>
                <w:szCs w:val="20"/>
              </w:rPr>
              <w:t>率=0%。3.加强校园文化建设，保障学校工作正常有序开展。4.保障学校各项工作圆满完成。。</w:t>
            </w:r>
          </w:p>
        </w:tc>
      </w:tr>
      <w:tr w:rsidR="00FC5EC9" w14:paraId="4E2A3E2E" w14:textId="77777777">
        <w:trPr>
          <w:trHeight w:val="582"/>
          <w:jc w:val="center"/>
        </w:trPr>
        <w:tc>
          <w:tcPr>
            <w:tcW w:w="1535" w:type="dxa"/>
            <w:shd w:val="clear" w:color="auto" w:fill="auto"/>
            <w:vAlign w:val="center"/>
          </w:tcPr>
          <w:p w14:paraId="5390D79A"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一级指标</w:t>
            </w:r>
          </w:p>
        </w:tc>
        <w:tc>
          <w:tcPr>
            <w:tcW w:w="1191" w:type="dxa"/>
            <w:shd w:val="clear" w:color="auto" w:fill="auto"/>
            <w:vAlign w:val="center"/>
          </w:tcPr>
          <w:p w14:paraId="76AC2029"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1158" w:type="dxa"/>
            <w:shd w:val="clear" w:color="auto" w:fill="auto"/>
            <w:vAlign w:val="center"/>
          </w:tcPr>
          <w:p w14:paraId="445AB057"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1097" w:type="dxa"/>
            <w:shd w:val="clear" w:color="auto" w:fill="auto"/>
            <w:vAlign w:val="center"/>
          </w:tcPr>
          <w:p w14:paraId="662BE5BA"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1164" w:type="dxa"/>
            <w:shd w:val="clear" w:color="auto" w:fill="auto"/>
            <w:vAlign w:val="center"/>
          </w:tcPr>
          <w:p w14:paraId="3D18EE88"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548" w:type="dxa"/>
            <w:shd w:val="clear" w:color="auto" w:fill="auto"/>
            <w:vAlign w:val="center"/>
          </w:tcPr>
          <w:p w14:paraId="0083A8B5"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909" w:type="dxa"/>
            <w:shd w:val="clear" w:color="auto" w:fill="auto"/>
            <w:vAlign w:val="center"/>
          </w:tcPr>
          <w:p w14:paraId="55EBDE4D"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920" w:type="dxa"/>
            <w:shd w:val="clear" w:color="auto" w:fill="auto"/>
            <w:vAlign w:val="center"/>
          </w:tcPr>
          <w:p w14:paraId="54BC12CE"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FC5EC9" w14:paraId="6D02AE9F" w14:textId="77777777">
        <w:trPr>
          <w:trHeight w:val="739"/>
          <w:jc w:val="center"/>
        </w:trPr>
        <w:tc>
          <w:tcPr>
            <w:tcW w:w="1535" w:type="dxa"/>
            <w:shd w:val="clear" w:color="auto" w:fill="auto"/>
            <w:vAlign w:val="center"/>
          </w:tcPr>
          <w:p w14:paraId="45A04047"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运行成本</w:t>
            </w:r>
          </w:p>
        </w:tc>
        <w:tc>
          <w:tcPr>
            <w:tcW w:w="1191" w:type="dxa"/>
            <w:vMerge w:val="restart"/>
            <w:shd w:val="clear" w:color="auto" w:fill="auto"/>
            <w:vAlign w:val="center"/>
          </w:tcPr>
          <w:p w14:paraId="2FCECE44"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1158" w:type="dxa"/>
            <w:shd w:val="clear" w:color="auto" w:fill="auto"/>
            <w:vAlign w:val="center"/>
          </w:tcPr>
          <w:p w14:paraId="2BCBE4D1"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保障在职人员数量</w:t>
            </w:r>
          </w:p>
        </w:tc>
        <w:tc>
          <w:tcPr>
            <w:tcW w:w="1097" w:type="dxa"/>
            <w:shd w:val="clear" w:color="auto" w:fill="auto"/>
            <w:vAlign w:val="center"/>
          </w:tcPr>
          <w:p w14:paraId="4815DECC"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&gt;=89人</w:t>
            </w:r>
          </w:p>
        </w:tc>
        <w:tc>
          <w:tcPr>
            <w:tcW w:w="1164" w:type="dxa"/>
            <w:shd w:val="clear" w:color="auto" w:fill="auto"/>
            <w:vAlign w:val="center"/>
          </w:tcPr>
          <w:p w14:paraId="0A110CC8"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2023年预算</w:t>
            </w:r>
          </w:p>
        </w:tc>
        <w:tc>
          <w:tcPr>
            <w:tcW w:w="548" w:type="dxa"/>
            <w:shd w:val="clear" w:color="auto" w:fill="auto"/>
            <w:vAlign w:val="center"/>
          </w:tcPr>
          <w:p w14:paraId="4B2411DF"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c>
          <w:tcPr>
            <w:tcW w:w="909" w:type="dxa"/>
            <w:shd w:val="clear" w:color="auto" w:fill="auto"/>
            <w:vAlign w:val="center"/>
          </w:tcPr>
          <w:p w14:paraId="41CE8136"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89人</w:t>
            </w:r>
          </w:p>
        </w:tc>
        <w:tc>
          <w:tcPr>
            <w:tcW w:w="920" w:type="dxa"/>
            <w:shd w:val="clear" w:color="auto" w:fill="auto"/>
            <w:vAlign w:val="center"/>
          </w:tcPr>
          <w:p w14:paraId="2A3FCF5B"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FC5EC9" w14:paraId="09FE4AB7" w14:textId="77777777">
        <w:trPr>
          <w:trHeight w:val="739"/>
          <w:jc w:val="center"/>
        </w:trPr>
        <w:tc>
          <w:tcPr>
            <w:tcW w:w="1535" w:type="dxa"/>
            <w:vMerge w:val="restart"/>
            <w:shd w:val="clear" w:color="auto" w:fill="auto"/>
            <w:vAlign w:val="center"/>
          </w:tcPr>
          <w:p w14:paraId="1AF1FE6D"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1191" w:type="dxa"/>
            <w:vMerge/>
            <w:vAlign w:val="center"/>
          </w:tcPr>
          <w:p w14:paraId="50BA6E65" w14:textId="77777777" w:rsidR="00FC5EC9" w:rsidRDefault="00FC5EC9">
            <w:pPr>
              <w:widowControl/>
              <w:jc w:val="left"/>
              <w:rPr>
                <w:rFonts w:ascii="宋体" w:hAnsi="宋体" w:cs="宋体" w:hint="eastAsia"/>
                <w:kern w:val="0"/>
                <w:sz w:val="20"/>
                <w:szCs w:val="20"/>
              </w:rPr>
            </w:pPr>
          </w:p>
        </w:tc>
        <w:tc>
          <w:tcPr>
            <w:tcW w:w="1158" w:type="dxa"/>
            <w:shd w:val="clear" w:color="auto" w:fill="auto"/>
            <w:vAlign w:val="center"/>
          </w:tcPr>
          <w:p w14:paraId="1B29E785"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资助学生人数</w:t>
            </w:r>
          </w:p>
        </w:tc>
        <w:tc>
          <w:tcPr>
            <w:tcW w:w="1097" w:type="dxa"/>
            <w:shd w:val="clear" w:color="auto" w:fill="auto"/>
            <w:vAlign w:val="center"/>
          </w:tcPr>
          <w:p w14:paraId="31A39017"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&gt;=176人</w:t>
            </w:r>
          </w:p>
        </w:tc>
        <w:tc>
          <w:tcPr>
            <w:tcW w:w="1164" w:type="dxa"/>
            <w:shd w:val="clear" w:color="auto" w:fill="auto"/>
            <w:vAlign w:val="center"/>
          </w:tcPr>
          <w:p w14:paraId="6ADB93BA"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2023年工作计划</w:t>
            </w:r>
          </w:p>
        </w:tc>
        <w:tc>
          <w:tcPr>
            <w:tcW w:w="548" w:type="dxa"/>
            <w:shd w:val="clear" w:color="auto" w:fill="auto"/>
            <w:vAlign w:val="center"/>
          </w:tcPr>
          <w:p w14:paraId="04BF2A74"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909" w:type="dxa"/>
            <w:shd w:val="clear" w:color="auto" w:fill="auto"/>
            <w:vAlign w:val="center"/>
          </w:tcPr>
          <w:p w14:paraId="34CC5C90"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180人</w:t>
            </w:r>
          </w:p>
        </w:tc>
        <w:tc>
          <w:tcPr>
            <w:tcW w:w="920" w:type="dxa"/>
            <w:shd w:val="clear" w:color="auto" w:fill="auto"/>
            <w:vAlign w:val="center"/>
          </w:tcPr>
          <w:p w14:paraId="1F07D189"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FC5EC9" w14:paraId="521D6E27" w14:textId="77777777">
        <w:trPr>
          <w:trHeight w:val="739"/>
          <w:jc w:val="center"/>
        </w:trPr>
        <w:tc>
          <w:tcPr>
            <w:tcW w:w="1535" w:type="dxa"/>
            <w:vMerge/>
            <w:vAlign w:val="center"/>
          </w:tcPr>
          <w:p w14:paraId="7B850F11" w14:textId="77777777" w:rsidR="00FC5EC9" w:rsidRDefault="00FC5EC9">
            <w:pPr>
              <w:widowControl/>
              <w:jc w:val="left"/>
              <w:rPr>
                <w:rFonts w:ascii="宋体" w:hAnsi="宋体" w:cs="宋体" w:hint="eastAsia"/>
                <w:kern w:val="0"/>
                <w:sz w:val="20"/>
                <w:szCs w:val="20"/>
              </w:rPr>
            </w:pPr>
          </w:p>
        </w:tc>
        <w:tc>
          <w:tcPr>
            <w:tcW w:w="1191" w:type="dxa"/>
            <w:vMerge/>
            <w:vAlign w:val="center"/>
          </w:tcPr>
          <w:p w14:paraId="3A9FEF0B" w14:textId="77777777" w:rsidR="00FC5EC9" w:rsidRDefault="00FC5EC9">
            <w:pPr>
              <w:widowControl/>
              <w:jc w:val="left"/>
              <w:rPr>
                <w:rFonts w:ascii="宋体" w:hAnsi="宋体" w:cs="宋体" w:hint="eastAsia"/>
                <w:kern w:val="0"/>
                <w:sz w:val="20"/>
                <w:szCs w:val="20"/>
              </w:rPr>
            </w:pPr>
          </w:p>
        </w:tc>
        <w:tc>
          <w:tcPr>
            <w:tcW w:w="1158" w:type="dxa"/>
            <w:shd w:val="clear" w:color="auto" w:fill="auto"/>
            <w:vAlign w:val="center"/>
          </w:tcPr>
          <w:p w14:paraId="24A25A2E"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开展教师培训数量</w:t>
            </w:r>
          </w:p>
        </w:tc>
        <w:tc>
          <w:tcPr>
            <w:tcW w:w="1097" w:type="dxa"/>
            <w:shd w:val="clear" w:color="auto" w:fill="auto"/>
            <w:vAlign w:val="center"/>
          </w:tcPr>
          <w:p w14:paraId="036A60BE"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&gt;=3次</w:t>
            </w:r>
          </w:p>
        </w:tc>
        <w:tc>
          <w:tcPr>
            <w:tcW w:w="1164" w:type="dxa"/>
            <w:shd w:val="clear" w:color="auto" w:fill="auto"/>
            <w:vAlign w:val="center"/>
          </w:tcPr>
          <w:p w14:paraId="230E1E2F"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2023年工作计划</w:t>
            </w:r>
          </w:p>
        </w:tc>
        <w:tc>
          <w:tcPr>
            <w:tcW w:w="548" w:type="dxa"/>
            <w:shd w:val="clear" w:color="auto" w:fill="auto"/>
            <w:vAlign w:val="center"/>
          </w:tcPr>
          <w:p w14:paraId="6FA8BDA6"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909" w:type="dxa"/>
            <w:shd w:val="clear" w:color="auto" w:fill="auto"/>
            <w:vAlign w:val="center"/>
          </w:tcPr>
          <w:p w14:paraId="37807B92"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3次</w:t>
            </w:r>
          </w:p>
        </w:tc>
        <w:tc>
          <w:tcPr>
            <w:tcW w:w="920" w:type="dxa"/>
            <w:shd w:val="clear" w:color="auto" w:fill="auto"/>
            <w:vAlign w:val="center"/>
          </w:tcPr>
          <w:p w14:paraId="57116A07"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FC5EC9" w14:paraId="65AD400A" w14:textId="77777777">
        <w:trPr>
          <w:trHeight w:val="739"/>
          <w:jc w:val="center"/>
        </w:trPr>
        <w:tc>
          <w:tcPr>
            <w:tcW w:w="1535" w:type="dxa"/>
            <w:vMerge/>
            <w:vAlign w:val="center"/>
          </w:tcPr>
          <w:p w14:paraId="4E179F51" w14:textId="77777777" w:rsidR="00FC5EC9" w:rsidRDefault="00FC5EC9">
            <w:pPr>
              <w:widowControl/>
              <w:jc w:val="left"/>
              <w:rPr>
                <w:rFonts w:ascii="宋体" w:hAnsi="宋体" w:cs="宋体" w:hint="eastAsia"/>
                <w:kern w:val="0"/>
                <w:sz w:val="20"/>
                <w:szCs w:val="20"/>
              </w:rPr>
            </w:pPr>
          </w:p>
        </w:tc>
        <w:tc>
          <w:tcPr>
            <w:tcW w:w="1191" w:type="dxa"/>
            <w:vMerge/>
            <w:vAlign w:val="center"/>
          </w:tcPr>
          <w:p w14:paraId="7B47B566" w14:textId="77777777" w:rsidR="00FC5EC9" w:rsidRDefault="00FC5EC9">
            <w:pPr>
              <w:widowControl/>
              <w:jc w:val="left"/>
              <w:rPr>
                <w:rFonts w:ascii="宋体" w:hAnsi="宋体" w:cs="宋体" w:hint="eastAsia"/>
                <w:kern w:val="0"/>
                <w:sz w:val="20"/>
                <w:szCs w:val="20"/>
              </w:rPr>
            </w:pPr>
          </w:p>
        </w:tc>
        <w:tc>
          <w:tcPr>
            <w:tcW w:w="1158" w:type="dxa"/>
            <w:shd w:val="clear" w:color="auto" w:fill="auto"/>
            <w:vAlign w:val="center"/>
          </w:tcPr>
          <w:p w14:paraId="0906F522"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组织教学质量分析会</w:t>
            </w:r>
          </w:p>
        </w:tc>
        <w:tc>
          <w:tcPr>
            <w:tcW w:w="1097" w:type="dxa"/>
            <w:shd w:val="clear" w:color="auto" w:fill="auto"/>
            <w:vAlign w:val="center"/>
          </w:tcPr>
          <w:p w14:paraId="6AF6BC31"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&gt;=2次</w:t>
            </w:r>
          </w:p>
        </w:tc>
        <w:tc>
          <w:tcPr>
            <w:tcW w:w="1164" w:type="dxa"/>
            <w:shd w:val="clear" w:color="auto" w:fill="auto"/>
            <w:vAlign w:val="center"/>
          </w:tcPr>
          <w:p w14:paraId="169E8F67"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2023年工作计划</w:t>
            </w:r>
          </w:p>
        </w:tc>
        <w:tc>
          <w:tcPr>
            <w:tcW w:w="548" w:type="dxa"/>
            <w:shd w:val="clear" w:color="auto" w:fill="auto"/>
            <w:vAlign w:val="center"/>
          </w:tcPr>
          <w:p w14:paraId="5BF00F99"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c>
          <w:tcPr>
            <w:tcW w:w="909" w:type="dxa"/>
            <w:shd w:val="clear" w:color="auto" w:fill="auto"/>
            <w:vAlign w:val="center"/>
          </w:tcPr>
          <w:p w14:paraId="23934EBB"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2次</w:t>
            </w:r>
          </w:p>
        </w:tc>
        <w:tc>
          <w:tcPr>
            <w:tcW w:w="920" w:type="dxa"/>
            <w:shd w:val="clear" w:color="auto" w:fill="auto"/>
            <w:vAlign w:val="center"/>
          </w:tcPr>
          <w:p w14:paraId="65400FDB"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FC5EC9" w14:paraId="5662AE24" w14:textId="77777777">
        <w:trPr>
          <w:trHeight w:val="739"/>
          <w:jc w:val="center"/>
        </w:trPr>
        <w:tc>
          <w:tcPr>
            <w:tcW w:w="1535" w:type="dxa"/>
            <w:vMerge/>
            <w:vAlign w:val="center"/>
          </w:tcPr>
          <w:p w14:paraId="427EA6A9" w14:textId="77777777" w:rsidR="00FC5EC9" w:rsidRDefault="00FC5EC9">
            <w:pPr>
              <w:widowControl/>
              <w:jc w:val="left"/>
              <w:rPr>
                <w:rFonts w:ascii="宋体" w:hAnsi="宋体" w:cs="宋体" w:hint="eastAsia"/>
                <w:kern w:val="0"/>
                <w:sz w:val="20"/>
                <w:szCs w:val="20"/>
              </w:rPr>
            </w:pPr>
          </w:p>
        </w:tc>
        <w:tc>
          <w:tcPr>
            <w:tcW w:w="1191" w:type="dxa"/>
            <w:shd w:val="clear" w:color="auto" w:fill="auto"/>
            <w:vAlign w:val="center"/>
          </w:tcPr>
          <w:p w14:paraId="0FCC71DF"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时效指标</w:t>
            </w:r>
          </w:p>
        </w:tc>
        <w:tc>
          <w:tcPr>
            <w:tcW w:w="1158" w:type="dxa"/>
            <w:shd w:val="clear" w:color="auto" w:fill="auto"/>
            <w:vAlign w:val="center"/>
          </w:tcPr>
          <w:p w14:paraId="31392EA3"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助学金发</w:t>
            </w:r>
            <w:proofErr w:type="gramStart"/>
            <w:r>
              <w:rPr>
                <w:rFonts w:ascii="宋体" w:hAnsi="宋体" w:cs="宋体" w:hint="eastAsia"/>
                <w:kern w:val="0"/>
                <w:sz w:val="20"/>
                <w:szCs w:val="20"/>
              </w:rPr>
              <w:t>放及时</w:t>
            </w:r>
            <w:proofErr w:type="gramEnd"/>
            <w:r>
              <w:rPr>
                <w:rFonts w:ascii="宋体" w:hAnsi="宋体" w:cs="宋体" w:hint="eastAsia"/>
                <w:kern w:val="0"/>
                <w:sz w:val="20"/>
                <w:szCs w:val="20"/>
              </w:rPr>
              <w:t>率</w:t>
            </w:r>
          </w:p>
        </w:tc>
        <w:tc>
          <w:tcPr>
            <w:tcW w:w="1097" w:type="dxa"/>
            <w:shd w:val="clear" w:color="auto" w:fill="auto"/>
            <w:vAlign w:val="center"/>
          </w:tcPr>
          <w:p w14:paraId="79BEE6A6"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1164" w:type="dxa"/>
            <w:shd w:val="clear" w:color="auto" w:fill="auto"/>
            <w:vAlign w:val="center"/>
          </w:tcPr>
          <w:p w14:paraId="2BA35A6E"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2023年工作计划</w:t>
            </w:r>
          </w:p>
        </w:tc>
        <w:tc>
          <w:tcPr>
            <w:tcW w:w="548" w:type="dxa"/>
            <w:shd w:val="clear" w:color="auto" w:fill="auto"/>
            <w:vAlign w:val="center"/>
          </w:tcPr>
          <w:p w14:paraId="34D0E5A2"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c>
          <w:tcPr>
            <w:tcW w:w="909" w:type="dxa"/>
            <w:shd w:val="clear" w:color="auto" w:fill="auto"/>
            <w:vAlign w:val="center"/>
          </w:tcPr>
          <w:p w14:paraId="4D06501E"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920" w:type="dxa"/>
            <w:shd w:val="clear" w:color="auto" w:fill="auto"/>
            <w:vAlign w:val="center"/>
          </w:tcPr>
          <w:p w14:paraId="063C67B1"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FC5EC9" w14:paraId="693EC945" w14:textId="77777777">
        <w:trPr>
          <w:trHeight w:val="739"/>
          <w:jc w:val="center"/>
        </w:trPr>
        <w:tc>
          <w:tcPr>
            <w:tcW w:w="1535" w:type="dxa"/>
            <w:vMerge w:val="restart"/>
            <w:shd w:val="clear" w:color="auto" w:fill="auto"/>
            <w:vAlign w:val="center"/>
          </w:tcPr>
          <w:p w14:paraId="22BF87CD"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1191" w:type="dxa"/>
            <w:shd w:val="clear" w:color="auto" w:fill="auto"/>
            <w:vAlign w:val="center"/>
          </w:tcPr>
          <w:p w14:paraId="28C98C74"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1158" w:type="dxa"/>
            <w:shd w:val="clear" w:color="auto" w:fill="auto"/>
            <w:vAlign w:val="center"/>
          </w:tcPr>
          <w:p w14:paraId="571E14D5"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各类培训及学习次数</w:t>
            </w:r>
          </w:p>
        </w:tc>
        <w:tc>
          <w:tcPr>
            <w:tcW w:w="1097" w:type="dxa"/>
            <w:shd w:val="clear" w:color="auto" w:fill="auto"/>
            <w:vAlign w:val="center"/>
          </w:tcPr>
          <w:p w14:paraId="38120F4A"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&gt;=20次</w:t>
            </w:r>
          </w:p>
        </w:tc>
        <w:tc>
          <w:tcPr>
            <w:tcW w:w="1164" w:type="dxa"/>
            <w:shd w:val="clear" w:color="auto" w:fill="auto"/>
            <w:vAlign w:val="center"/>
          </w:tcPr>
          <w:p w14:paraId="27E1508B"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2023年工作计划</w:t>
            </w:r>
          </w:p>
        </w:tc>
        <w:tc>
          <w:tcPr>
            <w:tcW w:w="548" w:type="dxa"/>
            <w:shd w:val="clear" w:color="auto" w:fill="auto"/>
            <w:vAlign w:val="center"/>
          </w:tcPr>
          <w:p w14:paraId="09DBA2FD"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c>
          <w:tcPr>
            <w:tcW w:w="909" w:type="dxa"/>
            <w:shd w:val="clear" w:color="auto" w:fill="auto"/>
            <w:vAlign w:val="center"/>
          </w:tcPr>
          <w:p w14:paraId="4A088A1E"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20次</w:t>
            </w:r>
          </w:p>
        </w:tc>
        <w:tc>
          <w:tcPr>
            <w:tcW w:w="920" w:type="dxa"/>
            <w:shd w:val="clear" w:color="auto" w:fill="auto"/>
            <w:vAlign w:val="center"/>
          </w:tcPr>
          <w:p w14:paraId="44A7824E" w14:textId="77777777" w:rsidR="00FC5EC9"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FC5EC9" w14:paraId="715026F9" w14:textId="77777777">
        <w:trPr>
          <w:trHeight w:val="739"/>
          <w:jc w:val="center"/>
        </w:trPr>
        <w:tc>
          <w:tcPr>
            <w:tcW w:w="1535" w:type="dxa"/>
            <w:vMerge/>
            <w:vAlign w:val="center"/>
          </w:tcPr>
          <w:p w14:paraId="28BC3B3A" w14:textId="77777777" w:rsidR="00FC5EC9" w:rsidRDefault="00FC5EC9">
            <w:pPr>
              <w:widowControl/>
              <w:jc w:val="left"/>
              <w:rPr>
                <w:rFonts w:ascii="宋体" w:hAnsi="宋体" w:cs="宋体" w:hint="eastAsia"/>
                <w:kern w:val="0"/>
                <w:sz w:val="20"/>
                <w:szCs w:val="20"/>
              </w:rPr>
            </w:pPr>
          </w:p>
        </w:tc>
        <w:tc>
          <w:tcPr>
            <w:tcW w:w="1191" w:type="dxa"/>
            <w:vMerge w:val="restart"/>
            <w:shd w:val="clear" w:color="auto" w:fill="auto"/>
            <w:noWrap/>
            <w:vAlign w:val="center"/>
          </w:tcPr>
          <w:p w14:paraId="5838EDC5" w14:textId="77777777" w:rsidR="00FC5EC9" w:rsidRDefault="00000000">
            <w:pPr>
              <w:widowControl/>
              <w:jc w:val="left"/>
              <w:rPr>
                <w:rFonts w:ascii="宋体" w:hAnsi="宋体" w:cs="宋体" w:hint="eastAsia"/>
                <w:kern w:val="0"/>
                <w:sz w:val="20"/>
                <w:szCs w:val="20"/>
              </w:rPr>
            </w:pPr>
            <w:r>
              <w:rPr>
                <w:rFonts w:ascii="宋体" w:hAnsi="宋体" w:cs="宋体" w:hint="eastAsia"/>
                <w:kern w:val="0"/>
                <w:sz w:val="20"/>
                <w:szCs w:val="20"/>
              </w:rPr>
              <w:t>质量指标</w:t>
            </w:r>
          </w:p>
        </w:tc>
        <w:tc>
          <w:tcPr>
            <w:tcW w:w="1158" w:type="dxa"/>
            <w:shd w:val="clear" w:color="auto" w:fill="auto"/>
            <w:noWrap/>
            <w:vAlign w:val="center"/>
          </w:tcPr>
          <w:p w14:paraId="1B068645" w14:textId="77777777" w:rsidR="00FC5EC9" w:rsidRDefault="00000000">
            <w:pPr>
              <w:widowControl/>
              <w:jc w:val="left"/>
              <w:rPr>
                <w:rFonts w:ascii="宋体" w:hAnsi="宋体" w:cs="宋体" w:hint="eastAsia"/>
                <w:kern w:val="0"/>
                <w:sz w:val="20"/>
                <w:szCs w:val="20"/>
              </w:rPr>
            </w:pPr>
            <w:r>
              <w:rPr>
                <w:rFonts w:ascii="宋体" w:hAnsi="宋体" w:cs="宋体" w:hint="eastAsia"/>
                <w:kern w:val="0"/>
                <w:sz w:val="20"/>
                <w:szCs w:val="20"/>
              </w:rPr>
              <w:t>教师培训合格率</w:t>
            </w:r>
          </w:p>
        </w:tc>
        <w:tc>
          <w:tcPr>
            <w:tcW w:w="1097" w:type="dxa"/>
            <w:shd w:val="clear" w:color="auto" w:fill="auto"/>
            <w:noWrap/>
            <w:vAlign w:val="center"/>
          </w:tcPr>
          <w:p w14:paraId="6459C787" w14:textId="77777777" w:rsidR="00FC5EC9" w:rsidRDefault="00000000">
            <w:pPr>
              <w:widowControl/>
              <w:jc w:val="left"/>
              <w:rPr>
                <w:rFonts w:ascii="宋体" w:hAnsi="宋体" w:cs="宋体" w:hint="eastAsia"/>
                <w:kern w:val="0"/>
                <w:sz w:val="20"/>
                <w:szCs w:val="20"/>
              </w:rPr>
            </w:pPr>
            <w:r>
              <w:rPr>
                <w:rFonts w:ascii="宋体" w:hAnsi="宋体" w:cs="宋体" w:hint="eastAsia"/>
                <w:kern w:val="0"/>
                <w:sz w:val="20"/>
                <w:szCs w:val="20"/>
              </w:rPr>
              <w:t>=100%</w:t>
            </w:r>
          </w:p>
        </w:tc>
        <w:tc>
          <w:tcPr>
            <w:tcW w:w="1164" w:type="dxa"/>
            <w:shd w:val="clear" w:color="auto" w:fill="auto"/>
            <w:noWrap/>
            <w:vAlign w:val="center"/>
          </w:tcPr>
          <w:p w14:paraId="6348644D" w14:textId="77777777" w:rsidR="00FC5EC9"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2023年工作计划</w:t>
            </w:r>
          </w:p>
        </w:tc>
        <w:tc>
          <w:tcPr>
            <w:tcW w:w="548" w:type="dxa"/>
            <w:shd w:val="clear" w:color="auto" w:fill="auto"/>
            <w:noWrap/>
            <w:vAlign w:val="center"/>
          </w:tcPr>
          <w:p w14:paraId="6B3CCB24" w14:textId="77777777" w:rsidR="00FC5EC9" w:rsidRDefault="00000000">
            <w:pPr>
              <w:widowControl/>
              <w:jc w:val="left"/>
              <w:rPr>
                <w:rFonts w:ascii="宋体" w:hAnsi="宋体" w:cs="宋体" w:hint="eastAsia"/>
                <w:kern w:val="0"/>
                <w:sz w:val="20"/>
                <w:szCs w:val="20"/>
              </w:rPr>
            </w:pPr>
            <w:r>
              <w:rPr>
                <w:rFonts w:ascii="宋体" w:hAnsi="宋体" w:cs="宋体" w:hint="eastAsia"/>
                <w:kern w:val="0"/>
                <w:sz w:val="20"/>
                <w:szCs w:val="20"/>
              </w:rPr>
              <w:t>15</w:t>
            </w:r>
          </w:p>
        </w:tc>
        <w:tc>
          <w:tcPr>
            <w:tcW w:w="909" w:type="dxa"/>
            <w:shd w:val="clear" w:color="auto" w:fill="auto"/>
            <w:noWrap/>
            <w:vAlign w:val="center"/>
          </w:tcPr>
          <w:p w14:paraId="164A16DF" w14:textId="77777777" w:rsidR="00FC5EC9" w:rsidRDefault="00000000">
            <w:pPr>
              <w:widowControl/>
              <w:jc w:val="left"/>
              <w:rPr>
                <w:rFonts w:ascii="宋体" w:hAnsi="宋体" w:cs="宋体" w:hint="eastAsia"/>
                <w:kern w:val="0"/>
                <w:sz w:val="20"/>
                <w:szCs w:val="20"/>
              </w:rPr>
            </w:pPr>
            <w:r>
              <w:rPr>
                <w:rFonts w:ascii="宋体" w:hAnsi="宋体" w:cs="宋体" w:hint="eastAsia"/>
                <w:kern w:val="0"/>
                <w:sz w:val="20"/>
                <w:szCs w:val="20"/>
              </w:rPr>
              <w:t>100%</w:t>
            </w:r>
          </w:p>
        </w:tc>
        <w:tc>
          <w:tcPr>
            <w:tcW w:w="920" w:type="dxa"/>
            <w:shd w:val="clear" w:color="auto" w:fill="auto"/>
            <w:noWrap/>
            <w:vAlign w:val="center"/>
          </w:tcPr>
          <w:p w14:paraId="335C26FB" w14:textId="77777777" w:rsidR="00FC5EC9" w:rsidRDefault="00000000">
            <w:pPr>
              <w:widowControl/>
              <w:jc w:val="left"/>
              <w:rPr>
                <w:rFonts w:ascii="宋体" w:hAnsi="宋体" w:cs="宋体" w:hint="eastAsia"/>
                <w:kern w:val="0"/>
                <w:sz w:val="20"/>
                <w:szCs w:val="20"/>
              </w:rPr>
            </w:pPr>
            <w:r>
              <w:rPr>
                <w:rFonts w:ascii="宋体" w:hAnsi="宋体" w:cs="宋体" w:hint="eastAsia"/>
                <w:kern w:val="0"/>
                <w:sz w:val="20"/>
                <w:szCs w:val="20"/>
              </w:rPr>
              <w:t>15</w:t>
            </w:r>
          </w:p>
        </w:tc>
      </w:tr>
      <w:tr w:rsidR="00FC5EC9" w14:paraId="5CD1FAE3" w14:textId="77777777">
        <w:trPr>
          <w:trHeight w:val="739"/>
          <w:jc w:val="center"/>
        </w:trPr>
        <w:tc>
          <w:tcPr>
            <w:tcW w:w="1535" w:type="dxa"/>
            <w:vMerge/>
            <w:vAlign w:val="center"/>
          </w:tcPr>
          <w:p w14:paraId="2AF41CB6" w14:textId="77777777" w:rsidR="00FC5EC9" w:rsidRDefault="00FC5EC9">
            <w:pPr>
              <w:widowControl/>
              <w:jc w:val="left"/>
              <w:rPr>
                <w:rFonts w:ascii="宋体" w:hAnsi="宋体" w:cs="宋体" w:hint="eastAsia"/>
                <w:kern w:val="0"/>
                <w:sz w:val="20"/>
                <w:szCs w:val="20"/>
              </w:rPr>
            </w:pPr>
          </w:p>
        </w:tc>
        <w:tc>
          <w:tcPr>
            <w:tcW w:w="1191" w:type="dxa"/>
            <w:vMerge/>
            <w:vAlign w:val="center"/>
          </w:tcPr>
          <w:p w14:paraId="71FE4E80" w14:textId="77777777" w:rsidR="00FC5EC9" w:rsidRDefault="00FC5EC9">
            <w:pPr>
              <w:widowControl/>
              <w:jc w:val="left"/>
              <w:rPr>
                <w:rFonts w:ascii="宋体" w:hAnsi="宋体" w:cs="宋体" w:hint="eastAsia"/>
                <w:kern w:val="0"/>
                <w:sz w:val="20"/>
                <w:szCs w:val="20"/>
              </w:rPr>
            </w:pPr>
          </w:p>
        </w:tc>
        <w:tc>
          <w:tcPr>
            <w:tcW w:w="1158" w:type="dxa"/>
            <w:shd w:val="clear" w:color="auto" w:fill="auto"/>
            <w:noWrap/>
            <w:vAlign w:val="center"/>
          </w:tcPr>
          <w:p w14:paraId="44168347" w14:textId="77777777" w:rsidR="00FC5EC9" w:rsidRDefault="00000000">
            <w:pPr>
              <w:widowControl/>
              <w:jc w:val="left"/>
              <w:rPr>
                <w:rFonts w:ascii="宋体" w:hAnsi="宋体" w:cs="宋体" w:hint="eastAsia"/>
                <w:kern w:val="0"/>
                <w:sz w:val="20"/>
                <w:szCs w:val="20"/>
              </w:rPr>
            </w:pPr>
            <w:proofErr w:type="gramStart"/>
            <w:r>
              <w:rPr>
                <w:rFonts w:ascii="宋体" w:hAnsi="宋体" w:cs="宋体" w:hint="eastAsia"/>
                <w:kern w:val="0"/>
                <w:sz w:val="20"/>
                <w:szCs w:val="20"/>
              </w:rPr>
              <w:t>控辍保学</w:t>
            </w:r>
            <w:proofErr w:type="gramEnd"/>
            <w:r>
              <w:rPr>
                <w:rFonts w:ascii="宋体" w:hAnsi="宋体" w:cs="宋体" w:hint="eastAsia"/>
                <w:kern w:val="0"/>
                <w:sz w:val="20"/>
                <w:szCs w:val="20"/>
              </w:rPr>
              <w:t>率</w:t>
            </w:r>
          </w:p>
        </w:tc>
        <w:tc>
          <w:tcPr>
            <w:tcW w:w="1097" w:type="dxa"/>
            <w:shd w:val="clear" w:color="auto" w:fill="auto"/>
            <w:noWrap/>
            <w:vAlign w:val="center"/>
          </w:tcPr>
          <w:p w14:paraId="2EB72185" w14:textId="77777777" w:rsidR="00FC5EC9" w:rsidRDefault="00000000">
            <w:pPr>
              <w:widowControl/>
              <w:jc w:val="left"/>
              <w:rPr>
                <w:rFonts w:ascii="宋体" w:hAnsi="宋体" w:cs="宋体" w:hint="eastAsia"/>
                <w:kern w:val="0"/>
                <w:sz w:val="20"/>
                <w:szCs w:val="20"/>
              </w:rPr>
            </w:pPr>
            <w:r>
              <w:rPr>
                <w:rFonts w:ascii="宋体" w:hAnsi="宋体" w:cs="宋体" w:hint="eastAsia"/>
                <w:kern w:val="0"/>
                <w:sz w:val="20"/>
                <w:szCs w:val="20"/>
              </w:rPr>
              <w:t>=0%</w:t>
            </w:r>
          </w:p>
        </w:tc>
        <w:tc>
          <w:tcPr>
            <w:tcW w:w="1164" w:type="dxa"/>
            <w:shd w:val="clear" w:color="auto" w:fill="auto"/>
            <w:noWrap/>
            <w:vAlign w:val="center"/>
          </w:tcPr>
          <w:p w14:paraId="428DC648" w14:textId="77777777" w:rsidR="00FC5EC9"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2023年工作计划</w:t>
            </w:r>
          </w:p>
        </w:tc>
        <w:tc>
          <w:tcPr>
            <w:tcW w:w="548" w:type="dxa"/>
            <w:shd w:val="clear" w:color="auto" w:fill="auto"/>
            <w:noWrap/>
            <w:vAlign w:val="center"/>
          </w:tcPr>
          <w:p w14:paraId="53FC7F43" w14:textId="77777777" w:rsidR="00FC5EC9" w:rsidRDefault="00000000">
            <w:pPr>
              <w:widowControl/>
              <w:jc w:val="left"/>
              <w:rPr>
                <w:rFonts w:ascii="宋体" w:hAnsi="宋体" w:cs="宋体" w:hint="eastAsia"/>
                <w:kern w:val="0"/>
                <w:sz w:val="20"/>
                <w:szCs w:val="20"/>
              </w:rPr>
            </w:pPr>
            <w:r>
              <w:rPr>
                <w:rFonts w:ascii="宋体" w:hAnsi="宋体" w:cs="宋体" w:hint="eastAsia"/>
                <w:kern w:val="0"/>
                <w:sz w:val="20"/>
                <w:szCs w:val="20"/>
              </w:rPr>
              <w:t>15</w:t>
            </w:r>
          </w:p>
        </w:tc>
        <w:tc>
          <w:tcPr>
            <w:tcW w:w="909" w:type="dxa"/>
            <w:shd w:val="clear" w:color="auto" w:fill="auto"/>
            <w:noWrap/>
            <w:vAlign w:val="center"/>
          </w:tcPr>
          <w:p w14:paraId="18AB15A5" w14:textId="77777777" w:rsidR="00FC5EC9" w:rsidRDefault="00000000">
            <w:pPr>
              <w:widowControl/>
              <w:jc w:val="left"/>
              <w:rPr>
                <w:rFonts w:ascii="宋体" w:hAnsi="宋体" w:cs="宋体" w:hint="eastAsia"/>
                <w:kern w:val="0"/>
                <w:sz w:val="20"/>
                <w:szCs w:val="20"/>
              </w:rPr>
            </w:pPr>
            <w:r>
              <w:rPr>
                <w:rFonts w:ascii="宋体" w:hAnsi="宋体" w:cs="宋体" w:hint="eastAsia"/>
                <w:kern w:val="0"/>
                <w:sz w:val="20"/>
                <w:szCs w:val="20"/>
              </w:rPr>
              <w:t>0%</w:t>
            </w:r>
          </w:p>
        </w:tc>
        <w:tc>
          <w:tcPr>
            <w:tcW w:w="920" w:type="dxa"/>
            <w:shd w:val="clear" w:color="auto" w:fill="auto"/>
            <w:noWrap/>
            <w:vAlign w:val="center"/>
          </w:tcPr>
          <w:p w14:paraId="766A086B" w14:textId="77777777" w:rsidR="00FC5EC9" w:rsidRDefault="00000000">
            <w:pPr>
              <w:widowControl/>
              <w:jc w:val="left"/>
              <w:rPr>
                <w:rFonts w:ascii="宋体" w:hAnsi="宋体" w:cs="宋体" w:hint="eastAsia"/>
                <w:kern w:val="0"/>
                <w:sz w:val="20"/>
                <w:szCs w:val="20"/>
              </w:rPr>
            </w:pPr>
            <w:r>
              <w:rPr>
                <w:rFonts w:ascii="宋体" w:hAnsi="宋体" w:cs="宋体" w:hint="eastAsia"/>
                <w:kern w:val="0"/>
                <w:sz w:val="20"/>
                <w:szCs w:val="20"/>
              </w:rPr>
              <w:t>15</w:t>
            </w:r>
          </w:p>
        </w:tc>
      </w:tr>
      <w:tr w:rsidR="00FC5EC9" w14:paraId="0D324124" w14:textId="77777777">
        <w:trPr>
          <w:trHeight w:val="739"/>
          <w:jc w:val="center"/>
        </w:trPr>
        <w:tc>
          <w:tcPr>
            <w:tcW w:w="1535" w:type="dxa"/>
            <w:vMerge/>
            <w:vAlign w:val="center"/>
          </w:tcPr>
          <w:p w14:paraId="7E92C6C7" w14:textId="77777777" w:rsidR="00FC5EC9" w:rsidRDefault="00FC5EC9">
            <w:pPr>
              <w:widowControl/>
              <w:jc w:val="left"/>
              <w:rPr>
                <w:rFonts w:ascii="宋体" w:hAnsi="宋体" w:cs="宋体" w:hint="eastAsia"/>
                <w:kern w:val="0"/>
                <w:sz w:val="20"/>
                <w:szCs w:val="20"/>
              </w:rPr>
            </w:pPr>
          </w:p>
        </w:tc>
        <w:tc>
          <w:tcPr>
            <w:tcW w:w="1191" w:type="dxa"/>
            <w:shd w:val="clear" w:color="auto" w:fill="auto"/>
            <w:noWrap/>
            <w:vAlign w:val="center"/>
          </w:tcPr>
          <w:p w14:paraId="5FE0CB35" w14:textId="77777777" w:rsidR="00FC5EC9" w:rsidRDefault="00000000">
            <w:pPr>
              <w:widowControl/>
              <w:jc w:val="left"/>
              <w:rPr>
                <w:rFonts w:ascii="宋体" w:hAnsi="宋体" w:cs="宋体" w:hint="eastAsia"/>
                <w:kern w:val="0"/>
                <w:sz w:val="20"/>
                <w:szCs w:val="20"/>
              </w:rPr>
            </w:pPr>
            <w:r>
              <w:rPr>
                <w:rFonts w:ascii="宋体" w:hAnsi="宋体" w:cs="宋体" w:hint="eastAsia"/>
                <w:kern w:val="0"/>
                <w:sz w:val="20"/>
                <w:szCs w:val="20"/>
              </w:rPr>
              <w:t>数量指标</w:t>
            </w:r>
          </w:p>
        </w:tc>
        <w:tc>
          <w:tcPr>
            <w:tcW w:w="1158" w:type="dxa"/>
            <w:shd w:val="clear" w:color="auto" w:fill="auto"/>
            <w:noWrap/>
            <w:vAlign w:val="center"/>
          </w:tcPr>
          <w:p w14:paraId="4DE0A777" w14:textId="77777777" w:rsidR="00FC5EC9" w:rsidRDefault="00000000">
            <w:pPr>
              <w:widowControl/>
              <w:jc w:val="left"/>
              <w:rPr>
                <w:rFonts w:ascii="宋体" w:hAnsi="宋体" w:cs="宋体" w:hint="eastAsia"/>
                <w:kern w:val="0"/>
                <w:sz w:val="20"/>
                <w:szCs w:val="20"/>
              </w:rPr>
            </w:pPr>
            <w:r>
              <w:rPr>
                <w:rFonts w:ascii="宋体" w:hAnsi="宋体" w:cs="宋体" w:hint="eastAsia"/>
                <w:kern w:val="0"/>
                <w:sz w:val="20"/>
                <w:szCs w:val="20"/>
              </w:rPr>
              <w:t>义务教育学生入学率</w:t>
            </w:r>
          </w:p>
        </w:tc>
        <w:tc>
          <w:tcPr>
            <w:tcW w:w="1097" w:type="dxa"/>
            <w:shd w:val="clear" w:color="auto" w:fill="auto"/>
            <w:noWrap/>
            <w:vAlign w:val="center"/>
          </w:tcPr>
          <w:p w14:paraId="3E8559B2" w14:textId="77777777" w:rsidR="00FC5EC9" w:rsidRDefault="00000000">
            <w:pPr>
              <w:widowControl/>
              <w:jc w:val="left"/>
              <w:rPr>
                <w:rFonts w:ascii="宋体" w:hAnsi="宋体" w:cs="宋体" w:hint="eastAsia"/>
                <w:kern w:val="0"/>
                <w:sz w:val="20"/>
                <w:szCs w:val="20"/>
              </w:rPr>
            </w:pPr>
            <w:r>
              <w:rPr>
                <w:rFonts w:ascii="宋体" w:hAnsi="宋体" w:cs="宋体" w:hint="eastAsia"/>
                <w:kern w:val="0"/>
                <w:sz w:val="20"/>
                <w:szCs w:val="20"/>
              </w:rPr>
              <w:t>=100%</w:t>
            </w:r>
          </w:p>
        </w:tc>
        <w:tc>
          <w:tcPr>
            <w:tcW w:w="1164" w:type="dxa"/>
            <w:shd w:val="clear" w:color="auto" w:fill="auto"/>
            <w:noWrap/>
            <w:vAlign w:val="center"/>
          </w:tcPr>
          <w:p w14:paraId="1CCED6DC" w14:textId="77777777" w:rsidR="00FC5EC9"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2023年工作计划</w:t>
            </w:r>
          </w:p>
        </w:tc>
        <w:tc>
          <w:tcPr>
            <w:tcW w:w="548" w:type="dxa"/>
            <w:shd w:val="clear" w:color="auto" w:fill="auto"/>
            <w:noWrap/>
            <w:vAlign w:val="center"/>
          </w:tcPr>
          <w:p w14:paraId="46157D8E" w14:textId="77777777" w:rsidR="00FC5EC9" w:rsidRDefault="00000000">
            <w:pPr>
              <w:widowControl/>
              <w:jc w:val="left"/>
              <w:rPr>
                <w:rFonts w:ascii="宋体" w:hAnsi="宋体" w:cs="宋体" w:hint="eastAsia"/>
                <w:kern w:val="0"/>
                <w:sz w:val="20"/>
                <w:szCs w:val="20"/>
              </w:rPr>
            </w:pPr>
            <w:r>
              <w:rPr>
                <w:rFonts w:ascii="宋体" w:hAnsi="宋体" w:cs="宋体" w:hint="eastAsia"/>
                <w:kern w:val="0"/>
                <w:sz w:val="20"/>
                <w:szCs w:val="20"/>
              </w:rPr>
              <w:t>15</w:t>
            </w:r>
          </w:p>
        </w:tc>
        <w:tc>
          <w:tcPr>
            <w:tcW w:w="909" w:type="dxa"/>
            <w:shd w:val="clear" w:color="auto" w:fill="auto"/>
            <w:noWrap/>
            <w:vAlign w:val="center"/>
          </w:tcPr>
          <w:p w14:paraId="417E7CF0" w14:textId="77777777" w:rsidR="00FC5EC9" w:rsidRDefault="00000000">
            <w:pPr>
              <w:widowControl/>
              <w:jc w:val="left"/>
              <w:rPr>
                <w:rFonts w:ascii="宋体" w:hAnsi="宋体" w:cs="宋体" w:hint="eastAsia"/>
                <w:kern w:val="0"/>
                <w:sz w:val="20"/>
                <w:szCs w:val="20"/>
              </w:rPr>
            </w:pPr>
            <w:r>
              <w:rPr>
                <w:rFonts w:ascii="宋体" w:hAnsi="宋体" w:cs="宋体" w:hint="eastAsia"/>
                <w:kern w:val="0"/>
                <w:sz w:val="20"/>
                <w:szCs w:val="20"/>
              </w:rPr>
              <w:t>100%</w:t>
            </w:r>
          </w:p>
        </w:tc>
        <w:tc>
          <w:tcPr>
            <w:tcW w:w="920" w:type="dxa"/>
            <w:shd w:val="clear" w:color="auto" w:fill="auto"/>
            <w:noWrap/>
            <w:vAlign w:val="center"/>
          </w:tcPr>
          <w:p w14:paraId="2C8BE08D" w14:textId="77777777" w:rsidR="00FC5EC9" w:rsidRDefault="00000000">
            <w:pPr>
              <w:widowControl/>
              <w:jc w:val="left"/>
              <w:rPr>
                <w:rFonts w:ascii="宋体" w:hAnsi="宋体" w:cs="宋体" w:hint="eastAsia"/>
                <w:kern w:val="0"/>
                <w:sz w:val="20"/>
                <w:szCs w:val="20"/>
              </w:rPr>
            </w:pPr>
            <w:r>
              <w:rPr>
                <w:rFonts w:ascii="宋体" w:hAnsi="宋体" w:cs="宋体" w:hint="eastAsia"/>
                <w:kern w:val="0"/>
                <w:sz w:val="20"/>
                <w:szCs w:val="20"/>
              </w:rPr>
              <w:t>15</w:t>
            </w:r>
          </w:p>
        </w:tc>
      </w:tr>
      <w:tr w:rsidR="00FC5EC9" w14:paraId="5463EEFF" w14:textId="77777777">
        <w:trPr>
          <w:trHeight w:val="739"/>
          <w:jc w:val="center"/>
        </w:trPr>
        <w:tc>
          <w:tcPr>
            <w:tcW w:w="1535" w:type="dxa"/>
            <w:shd w:val="clear" w:color="auto" w:fill="auto"/>
            <w:noWrap/>
            <w:vAlign w:val="center"/>
          </w:tcPr>
          <w:p w14:paraId="5BF9B33B" w14:textId="77777777" w:rsidR="00FC5EC9" w:rsidRDefault="00000000">
            <w:pPr>
              <w:widowControl/>
              <w:jc w:val="left"/>
              <w:rPr>
                <w:rFonts w:ascii="宋体" w:hAnsi="宋体" w:cs="宋体" w:hint="eastAsia"/>
                <w:kern w:val="0"/>
                <w:sz w:val="20"/>
                <w:szCs w:val="20"/>
              </w:rPr>
            </w:pPr>
            <w:r>
              <w:rPr>
                <w:rFonts w:ascii="宋体" w:hAnsi="宋体" w:cs="宋体" w:hint="eastAsia"/>
                <w:kern w:val="0"/>
                <w:sz w:val="20"/>
                <w:szCs w:val="20"/>
              </w:rPr>
              <w:t>社会效益</w:t>
            </w:r>
          </w:p>
        </w:tc>
        <w:tc>
          <w:tcPr>
            <w:tcW w:w="1191" w:type="dxa"/>
            <w:shd w:val="clear" w:color="auto" w:fill="auto"/>
            <w:noWrap/>
            <w:vAlign w:val="center"/>
          </w:tcPr>
          <w:p w14:paraId="155DBE45" w14:textId="77777777" w:rsidR="00FC5EC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158" w:type="dxa"/>
            <w:shd w:val="clear" w:color="auto" w:fill="auto"/>
            <w:noWrap/>
            <w:vAlign w:val="center"/>
          </w:tcPr>
          <w:p w14:paraId="48591CC1" w14:textId="77777777" w:rsidR="00FC5EC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097" w:type="dxa"/>
            <w:shd w:val="clear" w:color="auto" w:fill="auto"/>
            <w:noWrap/>
            <w:vAlign w:val="center"/>
          </w:tcPr>
          <w:p w14:paraId="1DB10117" w14:textId="77777777" w:rsidR="00FC5EC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164" w:type="dxa"/>
            <w:shd w:val="clear" w:color="auto" w:fill="auto"/>
            <w:noWrap/>
            <w:vAlign w:val="center"/>
          </w:tcPr>
          <w:p w14:paraId="2A839531" w14:textId="77777777" w:rsidR="00FC5EC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548" w:type="dxa"/>
            <w:shd w:val="clear" w:color="auto" w:fill="auto"/>
            <w:noWrap/>
            <w:vAlign w:val="center"/>
          </w:tcPr>
          <w:p w14:paraId="14FF375E" w14:textId="77777777" w:rsidR="00FC5EC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09" w:type="dxa"/>
            <w:shd w:val="clear" w:color="auto" w:fill="auto"/>
            <w:noWrap/>
            <w:vAlign w:val="center"/>
          </w:tcPr>
          <w:p w14:paraId="1DFBDE54" w14:textId="77777777" w:rsidR="00FC5EC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20" w:type="dxa"/>
            <w:shd w:val="clear" w:color="auto" w:fill="auto"/>
            <w:noWrap/>
            <w:vAlign w:val="center"/>
          </w:tcPr>
          <w:p w14:paraId="628CF370" w14:textId="77777777" w:rsidR="00FC5EC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FC5EC9" w14:paraId="2FBC4A99" w14:textId="77777777">
        <w:trPr>
          <w:trHeight w:val="739"/>
          <w:jc w:val="center"/>
        </w:trPr>
        <w:tc>
          <w:tcPr>
            <w:tcW w:w="1535" w:type="dxa"/>
            <w:shd w:val="clear" w:color="auto" w:fill="auto"/>
            <w:noWrap/>
            <w:vAlign w:val="center"/>
          </w:tcPr>
          <w:p w14:paraId="18D48847" w14:textId="77777777" w:rsidR="00FC5EC9"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1191" w:type="dxa"/>
            <w:shd w:val="clear" w:color="auto" w:fill="auto"/>
            <w:noWrap/>
            <w:vAlign w:val="center"/>
          </w:tcPr>
          <w:p w14:paraId="2C7CC4E4" w14:textId="77777777" w:rsidR="00FC5EC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158" w:type="dxa"/>
            <w:shd w:val="clear" w:color="auto" w:fill="auto"/>
            <w:noWrap/>
            <w:vAlign w:val="center"/>
          </w:tcPr>
          <w:p w14:paraId="499A220A" w14:textId="77777777" w:rsidR="00FC5EC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097" w:type="dxa"/>
            <w:shd w:val="clear" w:color="auto" w:fill="auto"/>
            <w:noWrap/>
            <w:vAlign w:val="center"/>
          </w:tcPr>
          <w:p w14:paraId="3918B0DA" w14:textId="77777777" w:rsidR="00FC5EC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164" w:type="dxa"/>
            <w:shd w:val="clear" w:color="auto" w:fill="auto"/>
            <w:noWrap/>
            <w:vAlign w:val="center"/>
          </w:tcPr>
          <w:p w14:paraId="03455F29" w14:textId="77777777" w:rsidR="00FC5EC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548" w:type="dxa"/>
            <w:shd w:val="clear" w:color="auto" w:fill="auto"/>
            <w:noWrap/>
            <w:vAlign w:val="center"/>
          </w:tcPr>
          <w:p w14:paraId="176051B5" w14:textId="77777777" w:rsidR="00FC5EC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09" w:type="dxa"/>
            <w:shd w:val="clear" w:color="auto" w:fill="auto"/>
            <w:noWrap/>
            <w:vAlign w:val="center"/>
          </w:tcPr>
          <w:p w14:paraId="652B4DDE" w14:textId="77777777" w:rsidR="00FC5EC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20" w:type="dxa"/>
            <w:shd w:val="clear" w:color="auto" w:fill="auto"/>
            <w:noWrap/>
            <w:vAlign w:val="center"/>
          </w:tcPr>
          <w:p w14:paraId="49572892" w14:textId="77777777" w:rsidR="00FC5EC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FC5EC9" w14:paraId="1C011C6A" w14:textId="77777777">
        <w:trPr>
          <w:trHeight w:val="739"/>
          <w:jc w:val="center"/>
        </w:trPr>
        <w:tc>
          <w:tcPr>
            <w:tcW w:w="1535" w:type="dxa"/>
            <w:shd w:val="clear" w:color="auto" w:fill="auto"/>
            <w:noWrap/>
            <w:vAlign w:val="center"/>
          </w:tcPr>
          <w:p w14:paraId="65869616" w14:textId="77777777" w:rsidR="00FC5EC9" w:rsidRDefault="00000000">
            <w:pPr>
              <w:widowControl/>
              <w:jc w:val="left"/>
              <w:rPr>
                <w:rFonts w:ascii="宋体" w:hAnsi="宋体" w:cs="宋体" w:hint="eastAsia"/>
                <w:kern w:val="0"/>
                <w:sz w:val="20"/>
                <w:szCs w:val="20"/>
              </w:rPr>
            </w:pPr>
            <w:r>
              <w:rPr>
                <w:rFonts w:ascii="宋体" w:hAnsi="宋体" w:cs="宋体" w:hint="eastAsia"/>
                <w:kern w:val="0"/>
                <w:sz w:val="20"/>
                <w:szCs w:val="20"/>
              </w:rPr>
              <w:lastRenderedPageBreak/>
              <w:t>服务对象满意度</w:t>
            </w:r>
          </w:p>
        </w:tc>
        <w:tc>
          <w:tcPr>
            <w:tcW w:w="1191" w:type="dxa"/>
            <w:shd w:val="clear" w:color="auto" w:fill="auto"/>
            <w:noWrap/>
            <w:vAlign w:val="center"/>
          </w:tcPr>
          <w:p w14:paraId="7738C745" w14:textId="77777777" w:rsidR="00FC5EC9" w:rsidRDefault="00000000">
            <w:pPr>
              <w:widowControl/>
              <w:jc w:val="left"/>
              <w:rPr>
                <w:rFonts w:ascii="宋体" w:hAnsi="宋体" w:cs="宋体" w:hint="eastAsia"/>
                <w:kern w:val="0"/>
                <w:sz w:val="20"/>
                <w:szCs w:val="20"/>
              </w:rPr>
            </w:pPr>
            <w:r>
              <w:rPr>
                <w:rFonts w:ascii="宋体" w:hAnsi="宋体" w:cs="宋体" w:hint="eastAsia"/>
                <w:kern w:val="0"/>
                <w:sz w:val="20"/>
                <w:szCs w:val="20"/>
              </w:rPr>
              <w:t>质量指标</w:t>
            </w:r>
          </w:p>
        </w:tc>
        <w:tc>
          <w:tcPr>
            <w:tcW w:w="1158" w:type="dxa"/>
            <w:shd w:val="clear" w:color="auto" w:fill="auto"/>
            <w:noWrap/>
            <w:vAlign w:val="center"/>
          </w:tcPr>
          <w:p w14:paraId="584196E1" w14:textId="77777777" w:rsidR="00FC5EC9" w:rsidRDefault="00000000">
            <w:pPr>
              <w:widowControl/>
              <w:jc w:val="left"/>
              <w:rPr>
                <w:rFonts w:ascii="宋体" w:hAnsi="宋体" w:cs="宋体" w:hint="eastAsia"/>
                <w:kern w:val="0"/>
                <w:sz w:val="20"/>
                <w:szCs w:val="20"/>
              </w:rPr>
            </w:pPr>
            <w:r>
              <w:rPr>
                <w:rFonts w:ascii="宋体" w:hAnsi="宋体" w:cs="宋体" w:hint="eastAsia"/>
                <w:kern w:val="0"/>
                <w:sz w:val="20"/>
                <w:szCs w:val="20"/>
              </w:rPr>
              <w:t>师生满意度</w:t>
            </w:r>
          </w:p>
        </w:tc>
        <w:tc>
          <w:tcPr>
            <w:tcW w:w="1097" w:type="dxa"/>
            <w:shd w:val="clear" w:color="auto" w:fill="auto"/>
            <w:noWrap/>
            <w:vAlign w:val="center"/>
          </w:tcPr>
          <w:p w14:paraId="67461678" w14:textId="77777777" w:rsidR="00FC5EC9" w:rsidRDefault="00000000">
            <w:pPr>
              <w:widowControl/>
              <w:jc w:val="left"/>
              <w:rPr>
                <w:rFonts w:ascii="宋体" w:hAnsi="宋体" w:cs="宋体" w:hint="eastAsia"/>
                <w:kern w:val="0"/>
                <w:sz w:val="20"/>
                <w:szCs w:val="20"/>
              </w:rPr>
            </w:pPr>
            <w:r>
              <w:rPr>
                <w:rFonts w:ascii="宋体" w:hAnsi="宋体" w:cs="宋体" w:hint="eastAsia"/>
                <w:kern w:val="0"/>
                <w:sz w:val="20"/>
                <w:szCs w:val="20"/>
              </w:rPr>
              <w:t>&gt;=90%</w:t>
            </w:r>
          </w:p>
        </w:tc>
        <w:tc>
          <w:tcPr>
            <w:tcW w:w="1164" w:type="dxa"/>
            <w:shd w:val="clear" w:color="auto" w:fill="auto"/>
            <w:noWrap/>
            <w:vAlign w:val="center"/>
          </w:tcPr>
          <w:p w14:paraId="06D8E68B" w14:textId="77777777" w:rsidR="00FC5EC9"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2023年工作计划</w:t>
            </w:r>
          </w:p>
        </w:tc>
        <w:tc>
          <w:tcPr>
            <w:tcW w:w="548" w:type="dxa"/>
            <w:shd w:val="clear" w:color="auto" w:fill="auto"/>
            <w:noWrap/>
            <w:vAlign w:val="center"/>
          </w:tcPr>
          <w:p w14:paraId="4A111A05" w14:textId="77777777" w:rsidR="00FC5EC9"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c>
          <w:tcPr>
            <w:tcW w:w="909" w:type="dxa"/>
            <w:shd w:val="clear" w:color="auto" w:fill="auto"/>
            <w:noWrap/>
            <w:vAlign w:val="center"/>
          </w:tcPr>
          <w:p w14:paraId="0D1FFC26" w14:textId="77777777" w:rsidR="00FC5EC9" w:rsidRDefault="00000000">
            <w:pPr>
              <w:widowControl/>
              <w:jc w:val="left"/>
              <w:rPr>
                <w:rFonts w:ascii="宋体" w:hAnsi="宋体" w:cs="宋体" w:hint="eastAsia"/>
                <w:kern w:val="0"/>
                <w:sz w:val="20"/>
                <w:szCs w:val="20"/>
              </w:rPr>
            </w:pPr>
            <w:r>
              <w:rPr>
                <w:rFonts w:ascii="宋体" w:hAnsi="宋体" w:cs="宋体" w:hint="eastAsia"/>
                <w:kern w:val="0"/>
                <w:sz w:val="20"/>
                <w:szCs w:val="20"/>
              </w:rPr>
              <w:t>90%</w:t>
            </w:r>
          </w:p>
        </w:tc>
        <w:tc>
          <w:tcPr>
            <w:tcW w:w="920" w:type="dxa"/>
            <w:shd w:val="clear" w:color="auto" w:fill="auto"/>
            <w:noWrap/>
            <w:vAlign w:val="center"/>
          </w:tcPr>
          <w:p w14:paraId="1F18F87A" w14:textId="77777777" w:rsidR="00FC5EC9"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r>
    </w:tbl>
    <w:p w14:paraId="71ABDBE8" w14:textId="77777777" w:rsidR="00FC5EC9" w:rsidRDefault="00FC5EC9">
      <w:pPr>
        <w:ind w:firstLineChars="200" w:firstLine="640"/>
        <w:jc w:val="left"/>
        <w:rPr>
          <w:rFonts w:ascii="仿宋_GB2312" w:eastAsia="仿宋_GB2312"/>
          <w:sz w:val="32"/>
          <w:szCs w:val="32"/>
        </w:rPr>
      </w:pPr>
    </w:p>
    <w:p w14:paraId="69204578" w14:textId="77777777" w:rsidR="00FC5EC9"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161605E8" w14:textId="77777777" w:rsidR="00FC5EC9"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65ED4BAD" w14:textId="77777777" w:rsidR="00FC5EC9" w:rsidRDefault="00000000">
      <w:pPr>
        <w:jc w:val="center"/>
        <w:outlineLvl w:val="0"/>
        <w:rPr>
          <w:rFonts w:ascii="黑体" w:eastAsia="黑体" w:hAnsi="黑体" w:hint="eastAsia"/>
          <w:sz w:val="32"/>
          <w:szCs w:val="32"/>
        </w:rPr>
      </w:pPr>
      <w:bookmarkStart w:id="30" w:name="_Toc24143"/>
      <w:bookmarkStart w:id="31" w:name="_Toc3250"/>
      <w:r>
        <w:rPr>
          <w:rFonts w:ascii="黑体" w:eastAsia="黑体" w:hAnsi="黑体" w:hint="eastAsia"/>
          <w:sz w:val="32"/>
          <w:szCs w:val="32"/>
        </w:rPr>
        <w:t>第三部分 专业名词解释</w:t>
      </w:r>
      <w:bookmarkEnd w:id="30"/>
      <w:bookmarkEnd w:id="31"/>
    </w:p>
    <w:p w14:paraId="5B7D271A" w14:textId="77777777" w:rsidR="00FC5EC9"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6B5208ED" w14:textId="77777777" w:rsidR="00FC5EC9"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452D6F4C" w14:textId="77777777" w:rsidR="00FC5EC9"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7B13928B" w14:textId="77777777" w:rsidR="00FC5EC9"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8E9D9D4" w14:textId="77777777" w:rsidR="00FC5EC9"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7E567340" w14:textId="77777777" w:rsidR="00FC5EC9"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55906B44" w14:textId="77777777" w:rsidR="00FC5EC9"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206FE3DA" w14:textId="77777777" w:rsidR="00FC5EC9"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w:t>
      </w:r>
      <w:r>
        <w:rPr>
          <w:rFonts w:ascii="仿宋_GB2312" w:eastAsia="仿宋_GB2312" w:hint="eastAsia"/>
          <w:sz w:val="32"/>
          <w:szCs w:val="32"/>
        </w:rPr>
        <w:lastRenderedPageBreak/>
        <w:t>因客观条件发生变化无法按原计划实施，需要延迟到以后年度按有关规定继续使用的资金，既包括财政拨款结转和结余，也包括事业收入、经营收入、其他收入的结转和结余。</w:t>
      </w:r>
    </w:p>
    <w:p w14:paraId="7F84D4FE" w14:textId="77777777" w:rsidR="00FC5EC9"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指为保障机构正常运转、完成日常工作任务而发生的人员支出和公用支出。</w:t>
      </w:r>
    </w:p>
    <w:p w14:paraId="25EC1A52" w14:textId="77777777" w:rsidR="00FC5EC9"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6DBA93FA" w14:textId="77777777" w:rsidR="00FC5EC9"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29CBD602" w14:textId="77777777" w:rsidR="00FC5EC9"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0BDDCBB1" w14:textId="77777777" w:rsidR="00FC5EC9"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56DC0B48" w14:textId="77777777" w:rsidR="00FC5EC9"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52A9BC05" w14:textId="77777777" w:rsidR="00FC5EC9"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549EF71D" w14:textId="77777777" w:rsidR="00FC5EC9"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717AF191" w14:textId="77777777" w:rsidR="00FC5EC9"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1492464F" w14:textId="77777777" w:rsidR="00FC5EC9"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14:paraId="4A9FF747" w14:textId="77777777" w:rsidR="00FC5EC9"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75DE2992" w14:textId="77777777" w:rsidR="00FC5EC9"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66EDAA84" w14:textId="77777777" w:rsidR="00FC5EC9"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46B37A1F" w14:textId="77777777" w:rsidR="00FC5EC9"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6E60CDE0" w14:textId="77777777" w:rsidR="00FC5EC9" w:rsidRDefault="00000000">
      <w:pPr>
        <w:ind w:firstLineChars="200" w:firstLine="640"/>
        <w:outlineLvl w:val="1"/>
        <w:rPr>
          <w:rFonts w:ascii="黑体" w:eastAsia="仿宋_GB2312" w:hAnsi="黑体" w:cs="宋体" w:hint="eastAsia"/>
          <w:bCs/>
          <w:kern w:val="0"/>
          <w:sz w:val="32"/>
          <w:szCs w:val="32"/>
        </w:rPr>
      </w:pPr>
      <w:bookmarkStart w:id="46" w:name="_Toc7643"/>
      <w:bookmarkStart w:id="47" w:name="_Toc5453"/>
      <w:r>
        <w:rPr>
          <w:rFonts w:ascii="黑体" w:eastAsia="仿宋_GB2312" w:hAnsi="黑体" w:cs="宋体" w:hint="eastAsia"/>
          <w:bCs/>
          <w:kern w:val="0"/>
          <w:sz w:val="32"/>
          <w:szCs w:val="32"/>
        </w:rPr>
        <w:t>八、《政府性基金预算财政拨款收入支出决算表》</w:t>
      </w:r>
      <w:bookmarkEnd w:id="46"/>
      <w:bookmarkEnd w:id="47"/>
    </w:p>
    <w:p w14:paraId="12C709AE" w14:textId="77777777" w:rsidR="00FC5EC9"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78CB2310" w14:textId="77777777" w:rsidR="00FC5EC9" w:rsidRDefault="00FC5EC9">
      <w:pPr>
        <w:ind w:firstLineChars="200" w:firstLine="640"/>
        <w:rPr>
          <w:rFonts w:ascii="仿宋_GB2312" w:eastAsia="仿宋_GB2312"/>
          <w:sz w:val="32"/>
          <w:szCs w:val="32"/>
        </w:rPr>
      </w:pPr>
    </w:p>
    <w:p w14:paraId="240D0843" w14:textId="77777777" w:rsidR="00FC5EC9" w:rsidRDefault="00FC5EC9">
      <w:pPr>
        <w:ind w:firstLineChars="200" w:firstLine="640"/>
        <w:outlineLvl w:val="1"/>
        <w:rPr>
          <w:rFonts w:ascii="黑体" w:eastAsia="黑体" w:hAnsi="黑体" w:cs="宋体" w:hint="eastAsia"/>
          <w:bCs/>
          <w:kern w:val="0"/>
          <w:sz w:val="32"/>
          <w:szCs w:val="32"/>
        </w:rPr>
      </w:pPr>
    </w:p>
    <w:sectPr w:rsidR="00FC5EC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B4C66F" w14:textId="77777777" w:rsidR="00487D61" w:rsidRDefault="00487D61">
      <w:r>
        <w:separator/>
      </w:r>
    </w:p>
  </w:endnote>
  <w:endnote w:type="continuationSeparator" w:id="0">
    <w:p w14:paraId="555F8722" w14:textId="77777777" w:rsidR="00487D61" w:rsidRDefault="00487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5DB19D" w14:textId="77777777" w:rsidR="00FC5EC9" w:rsidRDefault="00000000">
    <w:pPr>
      <w:pStyle w:val="a4"/>
    </w:pPr>
    <w:r>
      <w:rPr>
        <w:noProof/>
      </w:rPr>
      <mc:AlternateContent>
        <mc:Choice Requires="wps">
          <w:drawing>
            <wp:anchor distT="0" distB="0" distL="114300" distR="114300" simplePos="0" relativeHeight="251659264" behindDoc="0" locked="0" layoutInCell="1" allowOverlap="1" wp14:anchorId="4F6D24A2" wp14:editId="292331EC">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3EE0C2" w14:textId="77777777" w:rsidR="00FC5EC9"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4F6D24A2"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463EE0C2" w14:textId="77777777" w:rsidR="00FC5EC9"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C84B00" w14:textId="77777777" w:rsidR="00487D61" w:rsidRDefault="00487D61">
      <w:r>
        <w:separator/>
      </w:r>
    </w:p>
  </w:footnote>
  <w:footnote w:type="continuationSeparator" w:id="0">
    <w:p w14:paraId="06655C2A" w14:textId="77777777" w:rsidR="00487D61" w:rsidRDefault="00487D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9347037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7E75F1"/>
    <w:rsid w:val="00213C59"/>
    <w:rsid w:val="003210CE"/>
    <w:rsid w:val="00487D61"/>
    <w:rsid w:val="007810A3"/>
    <w:rsid w:val="007E6582"/>
    <w:rsid w:val="007E75F1"/>
    <w:rsid w:val="009245BF"/>
    <w:rsid w:val="00A7656D"/>
    <w:rsid w:val="00B70D59"/>
    <w:rsid w:val="00C6420D"/>
    <w:rsid w:val="00F52A8D"/>
    <w:rsid w:val="00FC5EC9"/>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8C36D9"/>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9E18FB"/>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2EED34"/>
  <w15:docId w15:val="{C4598AC3-FD82-437E-BB74-431F19F42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16</Pages>
  <Words>1186</Words>
  <Characters>6764</Characters>
  <Application>Microsoft Office Word</Application>
  <DocSecurity>0</DocSecurity>
  <Lines>56</Lines>
  <Paragraphs>15</Paragraphs>
  <ScaleCrop>false</ScaleCrop>
  <Company/>
  <LinksUpToDate>false</LinksUpToDate>
  <CharactersWithSpaces>7935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3</cp:revision>
  <dcterms:created xsi:type="dcterms:W3CDTF">2014-10-29T12:08:00Z</dcterms:created>
  <dcterms:modified xsi:type="dcterms:W3CDTF">2024-08-20T07:43:00Z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